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header1.xml" ContentType="application/vnd.openxmlformats-officedocument.wordprocessingml.header+xml"/>
  <Override PartName="/word/media/image1.jpeg" ContentType="image/jpeg"/>
  <Override PartName="/word/media/image2.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word/_rels/foot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left" w:pos="851" w:leader="none"/>
        </w:tabs>
        <w:spacing w:lineRule="auto" w:line="276" w:before="0" w:after="120"/>
        <w:jc w:val="center"/>
        <w:rPr>
          <w:rFonts w:ascii="Arial" w:hAnsi="Arial" w:cs="Arial"/>
          <w:b/>
          <w:b/>
          <w:sz w:val="28"/>
          <w:szCs w:val="28"/>
        </w:rPr>
      </w:pPr>
      <w:r>
        <w:rPr>
          <w:rFonts w:cs="Arial" w:ascii="Arial" w:hAnsi="Arial"/>
          <w:b/>
          <w:sz w:val="28"/>
          <w:szCs w:val="28"/>
        </w:rPr>
      </w:r>
    </w:p>
    <w:p>
      <w:pPr>
        <w:pStyle w:val="Normal"/>
        <w:tabs>
          <w:tab w:val="left" w:pos="851" w:leader="none"/>
        </w:tabs>
        <w:spacing w:lineRule="auto" w:line="276" w:before="0" w:after="120"/>
        <w:jc w:val="center"/>
        <w:rPr>
          <w:sz w:val="28"/>
          <w:szCs w:val="28"/>
        </w:rPr>
      </w:pPr>
      <w:r>
        <w:rPr>
          <w:rFonts w:cs="Arial" w:ascii="Arial" w:hAnsi="Arial"/>
          <w:b/>
          <w:sz w:val="28"/>
          <w:szCs w:val="28"/>
        </w:rPr>
        <w:t>TERMO DE REFERÊNCIA</w:t>
      </w:r>
    </w:p>
    <w:p>
      <w:pPr>
        <w:pStyle w:val="Normal"/>
        <w:tabs>
          <w:tab w:val="left" w:pos="851" w:leader="none"/>
        </w:tabs>
        <w:spacing w:lineRule="auto" w:line="276" w:before="0" w:after="120"/>
        <w:jc w:val="center"/>
        <w:rPr>
          <w:rFonts w:ascii="Arial" w:hAnsi="Arial" w:cs="Arial"/>
          <w:b/>
          <w:b/>
        </w:rPr>
      </w:pPr>
      <w:r>
        <w:rPr>
          <w:rFonts w:cs="Arial" w:ascii="Arial" w:hAnsi="Arial"/>
          <w:b/>
        </w:rPr>
      </w:r>
    </w:p>
    <w:tbl>
      <w:tblPr>
        <w:tblW w:w="9214" w:type="dxa"/>
        <w:jc w:val="left"/>
        <w:tblInd w:w="8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83" w:type="dxa"/>
          <w:bottom w:w="0" w:type="dxa"/>
          <w:right w:w="108" w:type="dxa"/>
        </w:tblCellMar>
        <w:tblLook w:val="04a0"/>
      </w:tblPr>
      <w:tblGrid>
        <w:gridCol w:w="9214"/>
      </w:tblGrid>
      <w:tr>
        <w:trPr>
          <w:trHeight w:val="438" w:hRule="atLeast"/>
        </w:trPr>
        <w:tc>
          <w:tcPr>
            <w:tcW w:w="921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D9D9D9" w:val="clear"/>
            <w:tcMar>
              <w:left w:w="83" w:type="dxa"/>
            </w:tcMar>
            <w:vAlign w:val="center"/>
          </w:tcPr>
          <w:p>
            <w:pPr>
              <w:pStyle w:val="Normal"/>
              <w:tabs>
                <w:tab w:val="left" w:pos="851" w:leader="none"/>
              </w:tabs>
              <w:spacing w:lineRule="auto" w:line="276" w:before="0" w:after="120"/>
              <w:jc w:val="center"/>
              <w:rPr>
                <w:sz w:val="24"/>
                <w:szCs w:val="24"/>
              </w:rPr>
            </w:pPr>
            <w:r>
              <w:rPr>
                <w:rFonts w:cs="Arial" w:ascii="Arial" w:hAnsi="Arial"/>
                <w:b/>
                <w:bCs/>
                <w:sz w:val="24"/>
                <w:szCs w:val="24"/>
              </w:rPr>
              <w:t xml:space="preserve">SERVIÇOS COMPLEMENTARES PARA INSTALAÇÃO </w:t>
            </w:r>
          </w:p>
          <w:p>
            <w:pPr>
              <w:pStyle w:val="Normal"/>
              <w:tabs>
                <w:tab w:val="left" w:pos="851" w:leader="none"/>
              </w:tabs>
              <w:spacing w:lineRule="auto" w:line="276" w:before="0" w:after="120"/>
              <w:jc w:val="center"/>
              <w:rPr>
                <w:sz w:val="24"/>
                <w:szCs w:val="24"/>
              </w:rPr>
            </w:pPr>
            <w:r>
              <w:rPr>
                <w:rFonts w:cs="Arial" w:ascii="Arial" w:hAnsi="Arial"/>
                <w:b/>
                <w:bCs/>
                <w:sz w:val="24"/>
                <w:szCs w:val="24"/>
              </w:rPr>
              <w:t xml:space="preserve">DE SALAS MODULARES </w:t>
            </w:r>
            <w:r>
              <w:rPr>
                <w:rFonts w:cs="Arial" w:ascii="Arial" w:hAnsi="Arial"/>
                <w:b/>
                <w:bCs/>
                <w:sz w:val="24"/>
                <w:szCs w:val="24"/>
              </w:rPr>
              <w:t>EM DUAS UNIDADES</w:t>
            </w:r>
          </w:p>
        </w:tc>
      </w:tr>
    </w:tbl>
    <w:p>
      <w:pPr>
        <w:pStyle w:val="Normal"/>
        <w:tabs>
          <w:tab w:val="left" w:pos="851" w:leader="none"/>
        </w:tabs>
        <w:spacing w:lineRule="auto" w:line="276" w:before="0" w:after="120"/>
        <w:rPr>
          <w:rFonts w:ascii="Arial" w:hAnsi="Arial" w:cs="Arial"/>
          <w:sz w:val="22"/>
          <w:szCs w:val="22"/>
        </w:rPr>
      </w:pPr>
      <w:r>
        <w:rPr>
          <w:rFonts w:cs="Arial" w:ascii="Arial" w:hAnsi="Arial"/>
          <w:sz w:val="22"/>
          <w:szCs w:val="22"/>
        </w:rPr>
      </w:r>
    </w:p>
    <w:p>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pPr>
      <w:r>
        <w:rPr>
          <w:rFonts w:cs="Arial"/>
          <w:bCs w:val="false"/>
          <w:sz w:val="22"/>
          <w:szCs w:val="22"/>
        </w:rPr>
        <w:t>INTRODUÇÃO.</w:t>
      </w:r>
    </w:p>
    <w:p>
      <w:pPr>
        <w:pStyle w:val="Normal"/>
        <w:tabs>
          <w:tab w:val="left" w:pos="851" w:leader="none"/>
        </w:tabs>
        <w:spacing w:lineRule="auto" w:line="276" w:before="0" w:after="120"/>
        <w:rPr>
          <w:rFonts w:ascii="Arial" w:hAnsi="Arial" w:cs="Arial"/>
          <w:sz w:val="22"/>
          <w:szCs w:val="22"/>
        </w:rPr>
      </w:pPr>
      <w:r>
        <w:rPr>
          <w:rFonts w:cs="Arial" w:ascii="Arial" w:hAnsi="Arial"/>
          <w:sz w:val="22"/>
          <w:szCs w:val="22"/>
        </w:rPr>
      </w:r>
    </w:p>
    <w:p>
      <w:pPr>
        <w:pStyle w:val="Normal"/>
        <w:tabs>
          <w:tab w:val="left" w:pos="851" w:leader="none"/>
        </w:tabs>
        <w:spacing w:lineRule="auto" w:line="276" w:before="0" w:after="120"/>
        <w:jc w:val="both"/>
        <w:rPr>
          <w:sz w:val="22"/>
          <w:szCs w:val="22"/>
        </w:rPr>
      </w:pPr>
      <w:r>
        <w:rPr>
          <w:rFonts w:cs="Arial" w:ascii="Arial" w:hAnsi="Arial"/>
          <w:sz w:val="22"/>
          <w:szCs w:val="22"/>
        </w:rPr>
        <w:tab/>
        <w:t xml:space="preserve">O presente documento trata dos procedimentos e orientações necessárias para contratação de empresa através do ato público de concorrência, objetivando a execução de obras de </w:t>
      </w:r>
      <w:r>
        <w:rPr>
          <w:rFonts w:cs="Arial" w:ascii="Arial" w:hAnsi="Arial"/>
          <w:b/>
          <w:bCs/>
          <w:sz w:val="22"/>
          <w:szCs w:val="22"/>
        </w:rPr>
        <w:t>SERVIÇOS COMPLEMENTARES PARA INSTALAÇÃO DE SALAS MODULARES</w:t>
      </w:r>
      <w:r>
        <w:rPr>
          <w:rFonts w:cs="Arial" w:ascii="Arial" w:hAnsi="Arial"/>
          <w:b/>
          <w:bCs/>
          <w:sz w:val="22"/>
          <w:szCs w:val="22"/>
        </w:rPr>
        <w:t xml:space="preserve">  </w:t>
      </w:r>
      <w:r>
        <w:rPr>
          <w:rFonts w:cs="Arial" w:ascii="Arial" w:hAnsi="Arial"/>
          <w:b/>
          <w:bCs/>
          <w:sz w:val="22"/>
          <w:szCs w:val="22"/>
        </w:rPr>
        <w:t>NAS EB PROF.ª THEREZA BEZERRA DE ATHAIDE (4 Unidades) e EBC MARIA DO CARMO VIEIRA ( 2 Unidades)</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pPr>
      <w:r>
        <w:rPr>
          <w:rFonts w:cs="Arial"/>
          <w:bCs w:val="false"/>
          <w:sz w:val="22"/>
          <w:szCs w:val="22"/>
        </w:rPr>
        <w:t>JUSTIFICATIVA.</w:t>
      </w:r>
    </w:p>
    <w:p>
      <w:pPr>
        <w:pStyle w:val="Normal"/>
        <w:tabs>
          <w:tab w:val="left" w:pos="851" w:leader="none"/>
        </w:tabs>
        <w:spacing w:lineRule="auto" w:line="276" w:before="0" w:after="120"/>
        <w:jc w:val="both"/>
        <w:rPr>
          <w:rFonts w:ascii="Arial" w:hAnsi="Arial" w:cs="Arial"/>
          <w:b/>
          <w:b/>
          <w:sz w:val="22"/>
          <w:szCs w:val="22"/>
        </w:rPr>
      </w:pPr>
      <w:r>
        <w:rPr>
          <w:rFonts w:cs="Arial" w:ascii="Arial" w:hAnsi="Arial"/>
          <w:b/>
          <w:sz w:val="22"/>
          <w:szCs w:val="22"/>
        </w:rPr>
      </w:r>
    </w:p>
    <w:p>
      <w:pPr>
        <w:pStyle w:val="Normal"/>
        <w:tabs>
          <w:tab w:val="left" w:pos="851" w:leader="none"/>
        </w:tabs>
        <w:spacing w:lineRule="auto" w:line="276" w:before="0" w:after="120"/>
        <w:ind w:firstLine="708"/>
        <w:jc w:val="both"/>
        <w:rPr/>
      </w:pPr>
      <w:r>
        <w:rPr>
          <w:rFonts w:cs="Arial" w:ascii="Arial" w:hAnsi="Arial"/>
          <w:sz w:val="22"/>
          <w:szCs w:val="22"/>
        </w:rPr>
        <w:t xml:space="preserve">A presente obra se faz necessário para </w:t>
      </w:r>
      <w:r>
        <w:rPr>
          <w:rFonts w:cs="Arial" w:ascii="Arial" w:hAnsi="Arial"/>
          <w:sz w:val="22"/>
          <w:szCs w:val="22"/>
        </w:rPr>
        <w:t xml:space="preserve">ampliar a demanda de vagas no ensino fundamental no Bairro Espinheiros sendo a </w:t>
      </w:r>
      <w:r>
        <w:rPr>
          <w:rFonts w:cs="Arial" w:ascii="Arial" w:hAnsi="Arial"/>
          <w:b w:val="false"/>
          <w:bCs w:val="false"/>
          <w:sz w:val="22"/>
          <w:szCs w:val="22"/>
        </w:rPr>
        <w:t>E</w:t>
      </w:r>
      <w:r>
        <w:rPr>
          <w:rFonts w:cs="Arial" w:ascii="Arial" w:hAnsi="Arial"/>
          <w:b w:val="false"/>
          <w:bCs w:val="false"/>
          <w:sz w:val="22"/>
          <w:szCs w:val="22"/>
        </w:rPr>
        <w:t>B</w:t>
      </w:r>
      <w:r>
        <w:rPr>
          <w:rFonts w:cs="Arial" w:ascii="Arial" w:hAnsi="Arial"/>
          <w:b w:val="false"/>
          <w:bCs w:val="false"/>
          <w:sz w:val="22"/>
          <w:szCs w:val="22"/>
        </w:rPr>
        <w:t xml:space="preserve"> Prof.ª Thereza Bezerra </w:t>
      </w:r>
      <w:r>
        <w:rPr>
          <w:rFonts w:cs="Arial" w:ascii="Arial" w:hAnsi="Arial"/>
          <w:b w:val="false"/>
          <w:bCs w:val="false"/>
          <w:sz w:val="22"/>
          <w:szCs w:val="22"/>
        </w:rPr>
        <w:t>d</w:t>
      </w:r>
      <w:r>
        <w:rPr>
          <w:rFonts w:cs="Arial" w:ascii="Arial" w:hAnsi="Arial"/>
          <w:b w:val="false"/>
          <w:bCs w:val="false"/>
          <w:sz w:val="22"/>
          <w:szCs w:val="22"/>
        </w:rPr>
        <w:t xml:space="preserve">e Athaide </w:t>
      </w:r>
      <w:r>
        <w:rPr>
          <w:rFonts w:cs="Arial" w:ascii="Arial" w:hAnsi="Arial"/>
          <w:b w:val="false"/>
          <w:bCs w:val="false"/>
          <w:sz w:val="22"/>
          <w:szCs w:val="22"/>
        </w:rPr>
        <w:t>a unidade com espaço físico disponível para atender a demanda. Na EBC Maria do Carmo Vieira a ampliação se faz necessário para suprir o atendimento em turno Integral.</w:t>
      </w:r>
    </w:p>
    <w:p>
      <w:pPr>
        <w:pStyle w:val="Normal"/>
        <w:tabs>
          <w:tab w:val="left" w:pos="851" w:leader="none"/>
        </w:tabs>
        <w:spacing w:lineRule="auto" w:line="276" w:before="0" w:after="120"/>
        <w:ind w:firstLine="708"/>
        <w:jc w:val="both"/>
        <w:rPr/>
      </w:pPr>
      <w:r>
        <w:rPr>
          <w:rFonts w:cs="Arial" w:ascii="Arial" w:hAnsi="Arial"/>
          <w:sz w:val="22"/>
          <w:szCs w:val="22"/>
        </w:rPr>
        <w:t xml:space="preserve">Optou-se pela construção em Salas Modulares, a serem adquiridas em Pregão Vigente, como forma de agilizar o processo de implantação por serem de rápida montagem em relação a alvenaria tradicional. Para a complementação da instalação de salas modulares em duas unidades, se faz necessário a execução de serviços da ordem de infraestrutura, pavimentação, instalações elétricas e </w:t>
      </w:r>
      <w:r>
        <w:rPr>
          <w:rFonts w:cs="Arial" w:ascii="Arial" w:hAnsi="Arial"/>
          <w:sz w:val="22"/>
          <w:szCs w:val="22"/>
        </w:rPr>
        <w:t>hidráulicas.</w:t>
      </w:r>
    </w:p>
    <w:p>
      <w:pPr>
        <w:pStyle w:val="Normal"/>
        <w:tabs>
          <w:tab w:val="left" w:pos="851" w:leader="none"/>
        </w:tabs>
        <w:spacing w:lineRule="auto" w:line="276" w:before="0" w:after="120"/>
        <w:ind w:firstLine="708"/>
        <w:jc w:val="both"/>
        <w:rPr/>
      </w:pPr>
      <w:r>
        <w:rPr>
          <w:rFonts w:cs="Arial" w:ascii="Arial" w:hAnsi="Arial"/>
          <w:sz w:val="22"/>
          <w:szCs w:val="22"/>
        </w:rPr>
        <w:t>A Secretaria Municipal de Educação numa ação ímpar necessita providenciar a realização de medida administrativa por intermédio de ato administrativo requisitando a contratação dos serviços que visa garantir o atendimento desta unidade escolar em questão.</w:t>
      </w:r>
    </w:p>
    <w:p>
      <w:pPr>
        <w:pStyle w:val="Normal"/>
        <w:tabs>
          <w:tab w:val="left" w:pos="851" w:leader="none"/>
        </w:tabs>
        <w:spacing w:lineRule="auto" w:line="276" w:before="0" w:after="120"/>
        <w:ind w:firstLine="708"/>
        <w:jc w:val="both"/>
        <w:rPr>
          <w:rFonts w:ascii="Arial" w:hAnsi="Arial" w:cs="Arial"/>
          <w:sz w:val="22"/>
          <w:szCs w:val="22"/>
        </w:rPr>
      </w:pPr>
      <w:r>
        <w:rPr>
          <w:rFonts w:cs="Arial" w:ascii="Arial" w:hAnsi="Arial"/>
          <w:sz w:val="22"/>
          <w:szCs w:val="22"/>
        </w:rPr>
      </w:r>
    </w:p>
    <w:p>
      <w:pPr>
        <w:pStyle w:val="Ttulo1"/>
        <w:widowControl/>
        <w:numPr>
          <w:ilvl w:val="0"/>
          <w:numId w:val="1"/>
        </w:numPr>
        <w:pBdr>
          <w:top w:val="single" w:sz="4" w:space="1" w:color="00000A"/>
          <w:left w:val="single" w:sz="4" w:space="4" w:color="00000A"/>
          <w:bottom w:val="single" w:sz="4" w:space="1" w:color="00000A"/>
          <w:right w:val="single" w:sz="4" w:space="9"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r>
        <w:rPr>
          <w:rFonts w:cs="Arial"/>
          <w:bCs w:val="false"/>
          <w:sz w:val="22"/>
          <w:szCs w:val="22"/>
        </w:rPr>
        <w:t>OBJETO.</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Normal"/>
        <w:widowControl/>
        <w:numPr>
          <w:ilvl w:val="1"/>
          <w:numId w:val="1"/>
        </w:numPr>
        <w:tabs>
          <w:tab w:val="left" w:pos="851" w:leader="none"/>
        </w:tabs>
        <w:suppressAutoHyphens w:val="false"/>
        <w:spacing w:lineRule="auto" w:line="276" w:before="0" w:after="120"/>
        <w:ind w:left="0" w:hanging="0"/>
        <w:jc w:val="both"/>
        <w:rPr/>
      </w:pPr>
      <w:r>
        <w:rPr>
          <w:rFonts w:cs="Arial" w:ascii="Arial" w:hAnsi="Arial"/>
          <w:sz w:val="22"/>
          <w:szCs w:val="22"/>
        </w:rPr>
        <w:t xml:space="preserve">Esta licitação modalidade </w:t>
      </w:r>
      <w:r>
        <w:rPr>
          <w:rFonts w:cs="Arial" w:ascii="Arial" w:hAnsi="Arial"/>
          <w:b/>
          <w:sz w:val="22"/>
          <w:szCs w:val="22"/>
        </w:rPr>
        <w:t>TOMADA DE PREÇO</w:t>
      </w:r>
      <w:r>
        <w:rPr>
          <w:rFonts w:cs="Arial" w:ascii="Arial" w:hAnsi="Arial"/>
          <w:sz w:val="22"/>
          <w:szCs w:val="22"/>
        </w:rPr>
        <w:t>, tem por objeto a contratação de empresa para:</w:t>
      </w:r>
    </w:p>
    <w:p>
      <w:pPr>
        <w:pStyle w:val="Normal"/>
        <w:widowControl/>
        <w:numPr>
          <w:ilvl w:val="0"/>
          <w:numId w:val="0"/>
        </w:numPr>
        <w:tabs>
          <w:tab w:val="left" w:pos="851" w:leader="none"/>
        </w:tabs>
        <w:suppressAutoHyphens w:val="false"/>
        <w:spacing w:lineRule="auto" w:line="276" w:before="0" w:after="120"/>
        <w:ind w:left="1567" w:hanging="0"/>
        <w:jc w:val="both"/>
        <w:rPr>
          <w:rFonts w:ascii="Arial" w:hAnsi="Arial" w:cs="Arial"/>
          <w:sz w:val="22"/>
          <w:szCs w:val="22"/>
        </w:rPr>
      </w:pPr>
      <w:r>
        <w:rPr>
          <w:rFonts w:cs="Arial" w:ascii="Arial" w:hAnsi="Arial"/>
          <w:sz w:val="22"/>
          <w:szCs w:val="22"/>
        </w:rPr>
      </w:r>
    </w:p>
    <w:tbl>
      <w:tblPr>
        <w:tblW w:w="7371" w:type="dxa"/>
        <w:jc w:val="center"/>
        <w:tblInd w:w="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45" w:type="dxa"/>
          <w:bottom w:w="0" w:type="dxa"/>
          <w:right w:w="70" w:type="dxa"/>
        </w:tblCellMar>
        <w:tblLook w:val="0000"/>
      </w:tblPr>
      <w:tblGrid>
        <w:gridCol w:w="7371"/>
      </w:tblGrid>
      <w:tr>
        <w:trPr/>
        <w:tc>
          <w:tcPr>
            <w:tcW w:w="73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C0C0C0" w:val="clear"/>
            <w:tcMar>
              <w:left w:w="45" w:type="dxa"/>
            </w:tcMar>
            <w:vAlign w:val="center"/>
          </w:tcPr>
          <w:p>
            <w:pPr>
              <w:pStyle w:val="BodyText3"/>
              <w:tabs>
                <w:tab w:val="left" w:pos="851" w:leader="none"/>
              </w:tabs>
              <w:spacing w:lineRule="auto" w:line="276" w:before="0" w:after="120"/>
              <w:rPr>
                <w:rFonts w:ascii="Arial" w:hAnsi="Arial" w:cs="Arial"/>
                <w:b/>
                <w:b/>
                <w:sz w:val="22"/>
                <w:szCs w:val="22"/>
              </w:rPr>
            </w:pPr>
            <w:r>
              <w:rPr>
                <w:rFonts w:cs="Arial" w:ascii="Arial" w:hAnsi="Arial"/>
                <w:b/>
                <w:sz w:val="22"/>
                <w:szCs w:val="22"/>
              </w:rPr>
              <w:t>Descrição</w:t>
            </w:r>
          </w:p>
        </w:tc>
      </w:tr>
      <w:tr>
        <w:trPr>
          <w:trHeight w:val="680" w:hRule="atLeast"/>
        </w:trPr>
        <w:tc>
          <w:tcPr>
            <w:tcW w:w="73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45" w:type="dxa"/>
            </w:tcMar>
            <w:vAlign w:val="center"/>
          </w:tcPr>
          <w:p>
            <w:pPr>
              <w:pStyle w:val="Normal"/>
              <w:tabs>
                <w:tab w:val="left" w:pos="851" w:leader="none"/>
              </w:tabs>
              <w:spacing w:lineRule="auto" w:line="276" w:before="0" w:after="120"/>
              <w:jc w:val="center"/>
              <w:rPr>
                <w:sz w:val="24"/>
                <w:szCs w:val="24"/>
              </w:rPr>
            </w:pPr>
            <w:bookmarkStart w:id="0" w:name="__DdeLink__1237_1621781598"/>
            <w:r>
              <w:rPr>
                <w:rFonts w:cs="Arial" w:ascii="Arial" w:hAnsi="Arial"/>
                <w:b/>
                <w:bCs/>
                <w:sz w:val="24"/>
                <w:szCs w:val="24"/>
              </w:rPr>
              <w:t xml:space="preserve">SERVIÇOS COMPLEMENTARES PARA INSTALAÇÃO </w:t>
            </w:r>
          </w:p>
          <w:p>
            <w:pPr>
              <w:pStyle w:val="Normal"/>
              <w:tabs>
                <w:tab w:val="left" w:pos="851" w:leader="none"/>
              </w:tabs>
              <w:spacing w:lineRule="auto" w:line="276" w:before="0" w:after="120"/>
              <w:jc w:val="center"/>
              <w:rPr>
                <w:sz w:val="24"/>
                <w:szCs w:val="24"/>
              </w:rPr>
            </w:pPr>
            <w:r>
              <w:rPr>
                <w:rFonts w:cs="Arial" w:ascii="Arial" w:hAnsi="Arial"/>
                <w:b/>
                <w:bCs/>
                <w:sz w:val="24"/>
                <w:szCs w:val="24"/>
              </w:rPr>
              <w:t xml:space="preserve">DE SALAS MODULARES </w:t>
            </w:r>
            <w:bookmarkEnd w:id="0"/>
            <w:r>
              <w:rPr>
                <w:rFonts w:cs="Arial" w:ascii="Arial" w:hAnsi="Arial"/>
                <w:b/>
                <w:bCs/>
                <w:sz w:val="24"/>
                <w:szCs w:val="24"/>
              </w:rPr>
              <w:t>EM DUAS UNIDADES</w:t>
            </w:r>
          </w:p>
        </w:tc>
      </w:tr>
    </w:tbl>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Ttulo1"/>
        <w:widowControl/>
        <w:numPr>
          <w:ilvl w:val="0"/>
          <w:numId w:val="1"/>
        </w:numPr>
        <w:pBdr>
          <w:top w:val="single" w:sz="4" w:space="1" w:color="00000A"/>
          <w:left w:val="single" w:sz="4" w:space="4" w:color="00000A"/>
          <w:bottom w:val="single" w:sz="4" w:space="1" w:color="00000A"/>
          <w:right w:val="single" w:sz="4" w:space="0"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bookmarkStart w:id="1" w:name="_Toc176842489"/>
      <w:bookmarkStart w:id="2" w:name="_Toc176842531"/>
      <w:bookmarkStart w:id="3" w:name="_Toc176842601"/>
      <w:bookmarkStart w:id="4" w:name="_Toc176847474"/>
      <w:bookmarkEnd w:id="1"/>
      <w:bookmarkEnd w:id="2"/>
      <w:bookmarkEnd w:id="3"/>
      <w:bookmarkEnd w:id="4"/>
      <w:r>
        <w:rPr>
          <w:rFonts w:cs="Arial"/>
          <w:bCs w:val="false"/>
          <w:sz w:val="22"/>
          <w:szCs w:val="22"/>
        </w:rPr>
        <w:t>ANEXOS.</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Fazem parte integrante e indissociável deste edital:</w:t>
      </w:r>
    </w:p>
    <w:p>
      <w:pPr>
        <w:pStyle w:val="Normal"/>
        <w:tabs>
          <w:tab w:val="left" w:pos="851" w:leader="none"/>
        </w:tabs>
        <w:spacing w:lineRule="auto" w:line="276"/>
        <w:jc w:val="both"/>
        <w:rPr>
          <w:rFonts w:ascii="Arial" w:hAnsi="Arial" w:cs="Arial"/>
          <w:sz w:val="22"/>
          <w:szCs w:val="22"/>
        </w:rPr>
      </w:pPr>
      <w:r>
        <w:rPr>
          <w:rFonts w:cs="Arial" w:ascii="Arial" w:hAnsi="Arial"/>
          <w:sz w:val="22"/>
          <w:szCs w:val="22"/>
        </w:rPr>
        <w:t>- Planilha Orçamentária</w:t>
      </w:r>
    </w:p>
    <w:p>
      <w:pPr>
        <w:pStyle w:val="Normal"/>
        <w:tabs>
          <w:tab w:val="left" w:pos="851" w:leader="none"/>
        </w:tabs>
        <w:spacing w:lineRule="auto" w:line="276"/>
        <w:jc w:val="both"/>
        <w:rPr>
          <w:rFonts w:ascii="Arial" w:hAnsi="Arial" w:cs="Arial"/>
          <w:sz w:val="22"/>
          <w:szCs w:val="22"/>
        </w:rPr>
      </w:pPr>
      <w:r>
        <w:rPr>
          <w:rFonts w:cs="Arial" w:ascii="Arial" w:hAnsi="Arial"/>
          <w:sz w:val="22"/>
          <w:szCs w:val="22"/>
        </w:rPr>
        <w:t>- Cronograma Físico-Financeiro</w:t>
      </w:r>
    </w:p>
    <w:p>
      <w:pPr>
        <w:pStyle w:val="Normal"/>
        <w:tabs>
          <w:tab w:val="left" w:pos="851" w:leader="none"/>
        </w:tabs>
        <w:spacing w:lineRule="auto" w:line="276"/>
        <w:jc w:val="both"/>
        <w:rPr>
          <w:rFonts w:ascii="Arial" w:hAnsi="Arial" w:cs="Arial"/>
          <w:sz w:val="22"/>
          <w:szCs w:val="22"/>
        </w:rPr>
      </w:pPr>
      <w:r>
        <w:rPr>
          <w:rFonts w:cs="Arial" w:ascii="Arial" w:hAnsi="Arial"/>
          <w:sz w:val="22"/>
          <w:szCs w:val="22"/>
        </w:rPr>
        <w:t>- Memorial Descritivo</w:t>
      </w:r>
    </w:p>
    <w:p>
      <w:pPr>
        <w:pStyle w:val="Normal"/>
        <w:tabs>
          <w:tab w:val="left" w:pos="851" w:leader="none"/>
        </w:tabs>
        <w:spacing w:lineRule="auto" w:line="276"/>
        <w:jc w:val="both"/>
        <w:rPr>
          <w:rFonts w:ascii="Arial" w:hAnsi="Arial" w:cs="Arial"/>
          <w:sz w:val="22"/>
          <w:szCs w:val="22"/>
        </w:rPr>
      </w:pPr>
      <w:r>
        <w:rPr>
          <w:rFonts w:cs="Arial" w:ascii="Arial" w:hAnsi="Arial"/>
          <w:sz w:val="22"/>
          <w:szCs w:val="22"/>
        </w:rPr>
        <w:t>- Projeto e Desenhos Técnicos</w:t>
      </w:r>
    </w:p>
    <w:p>
      <w:pPr>
        <w:pStyle w:val="Normal"/>
        <w:tabs>
          <w:tab w:val="left" w:pos="851" w:leader="none"/>
        </w:tabs>
        <w:spacing w:lineRule="auto" w:line="276"/>
        <w:jc w:val="both"/>
        <w:rPr>
          <w:rFonts w:ascii="Arial" w:hAnsi="Arial" w:cs="Arial"/>
          <w:sz w:val="22"/>
          <w:szCs w:val="22"/>
        </w:rPr>
      </w:pPr>
      <w:r>
        <w:rPr>
          <w:rFonts w:cs="Arial" w:ascii="Arial" w:hAnsi="Arial"/>
          <w:sz w:val="22"/>
          <w:szCs w:val="22"/>
        </w:rPr>
        <w:t>- Justificativa</w:t>
      </w:r>
    </w:p>
    <w:p>
      <w:pPr>
        <w:pStyle w:val="Normal"/>
        <w:tabs>
          <w:tab w:val="left" w:pos="851" w:leader="none"/>
        </w:tabs>
        <w:spacing w:lineRule="auto" w:line="276"/>
        <w:jc w:val="both"/>
        <w:rPr>
          <w:rFonts w:ascii="Arial" w:hAnsi="Arial" w:cs="Arial"/>
          <w:sz w:val="22"/>
          <w:szCs w:val="22"/>
        </w:rPr>
      </w:pPr>
      <w:r>
        <w:rPr>
          <w:rFonts w:cs="Arial" w:ascii="Arial" w:hAnsi="Arial"/>
          <w:sz w:val="22"/>
          <w:szCs w:val="22"/>
        </w:rPr>
        <w:t>- Modelo Genérico Diário de Obras</w:t>
      </w:r>
    </w:p>
    <w:p>
      <w:pPr>
        <w:pStyle w:val="Normal"/>
        <w:tabs>
          <w:tab w:val="left" w:pos="851" w:leader="none"/>
        </w:tabs>
        <w:spacing w:lineRule="auto" w:line="276"/>
        <w:jc w:val="both"/>
        <w:rPr>
          <w:rFonts w:ascii="Arial" w:hAnsi="Arial" w:cs="Arial"/>
          <w:sz w:val="22"/>
          <w:szCs w:val="22"/>
        </w:rPr>
      </w:pPr>
      <w:r>
        <w:rPr>
          <w:rFonts w:cs="Arial" w:ascii="Arial" w:hAnsi="Arial"/>
          <w:sz w:val="22"/>
          <w:szCs w:val="22"/>
        </w:rPr>
        <w:t>- Modelo Genérico Placa de Obra Municipal</w:t>
      </w:r>
    </w:p>
    <w:p>
      <w:pPr>
        <w:pStyle w:val="Normal"/>
        <w:tabs>
          <w:tab w:val="left" w:pos="851" w:leader="none"/>
          <w:tab w:val="left" w:pos="3418" w:leader="none"/>
        </w:tabs>
        <w:spacing w:lineRule="auto" w:line="276" w:before="0" w:after="120"/>
        <w:jc w:val="both"/>
        <w:rPr>
          <w:rFonts w:ascii="Arial" w:hAnsi="Arial" w:cs="Arial"/>
          <w:sz w:val="22"/>
          <w:szCs w:val="22"/>
        </w:rPr>
      </w:pPr>
      <w:r>
        <w:rPr>
          <w:rFonts w:cs="Arial" w:ascii="Arial" w:hAnsi="Arial"/>
          <w:sz w:val="22"/>
          <w:szCs w:val="22"/>
        </w:rPr>
        <w:tab/>
      </w:r>
    </w:p>
    <w:p>
      <w:pPr>
        <w:pStyle w:val="Ttulo1"/>
        <w:widowControl/>
        <w:numPr>
          <w:ilvl w:val="0"/>
          <w:numId w:val="1"/>
        </w:numPr>
        <w:pBdr>
          <w:top w:val="single" w:sz="4" w:space="1" w:color="00000A"/>
          <w:left w:val="single" w:sz="4" w:space="4" w:color="00000A"/>
          <w:bottom w:val="single" w:sz="4" w:space="1" w:color="00000A"/>
          <w:right w:val="single" w:sz="4" w:space="0"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r>
        <w:rPr>
          <w:rFonts w:cs="Arial"/>
          <w:bCs w:val="false"/>
          <w:sz w:val="22"/>
          <w:szCs w:val="22"/>
        </w:rPr>
        <w:t>DOTAÇÃO ORÇAMENTÁRIA.</w:t>
      </w:r>
    </w:p>
    <w:p>
      <w:pPr>
        <w:pStyle w:val="Normal"/>
        <w:tabs>
          <w:tab w:val="left" w:pos="851" w:leader="none"/>
        </w:tabs>
        <w:spacing w:lineRule="auto" w:line="276" w:before="0" w:after="120"/>
        <w:jc w:val="both"/>
        <w:rPr>
          <w:rFonts w:ascii="Arial" w:hAnsi="Arial" w:cs="Arial"/>
          <w:b/>
          <w:b/>
          <w:sz w:val="22"/>
          <w:szCs w:val="22"/>
        </w:rPr>
      </w:pPr>
      <w:r>
        <w:rPr>
          <w:rFonts w:cs="Arial" w:ascii="Arial" w:hAnsi="Arial"/>
          <w:b/>
          <w:sz w:val="22"/>
          <w:szCs w:val="22"/>
        </w:rPr>
      </w:r>
    </w:p>
    <w:p>
      <w:pPr>
        <w:pStyle w:val="Normal"/>
        <w:tabs>
          <w:tab w:val="left" w:pos="851" w:leader="none"/>
        </w:tabs>
        <w:spacing w:lineRule="auto" w:line="276" w:before="0" w:after="120"/>
        <w:jc w:val="both"/>
        <w:rPr/>
      </w:pPr>
      <w:r>
        <w:rPr>
          <w:rFonts w:cs="Arial" w:ascii="Arial" w:hAnsi="Arial"/>
          <w:bCs/>
          <w:sz w:val="22"/>
          <w:szCs w:val="22"/>
        </w:rPr>
        <w:t xml:space="preserve">5.1. Os recursos orçamentários necessários à execução do presente objeto, será de </w:t>
      </w:r>
      <w:r>
        <w:rPr>
          <w:rFonts w:cs="Arial" w:ascii="Arial" w:hAnsi="Arial"/>
          <w:b/>
          <w:bCs/>
          <w:sz w:val="22"/>
          <w:szCs w:val="22"/>
        </w:rPr>
        <w:t xml:space="preserve">R$   </w:t>
      </w:r>
      <w:r>
        <w:rPr>
          <w:rFonts w:cs="Arial" w:ascii="Arial" w:hAnsi="Arial"/>
          <w:b/>
          <w:bCs/>
          <w:sz w:val="22"/>
          <w:szCs w:val="22"/>
        </w:rPr>
        <w:t>43.412,57</w:t>
      </w:r>
      <w:r>
        <w:rPr>
          <w:rFonts w:cs="Arial" w:ascii="Arial" w:hAnsi="Arial"/>
          <w:b/>
          <w:bCs/>
          <w:sz w:val="22"/>
          <w:szCs w:val="22"/>
        </w:rPr>
        <w:t xml:space="preserve"> </w:t>
      </w:r>
      <w:r>
        <w:rPr>
          <w:rFonts w:cs="Arial" w:ascii="Arial" w:hAnsi="Arial"/>
          <w:bCs/>
          <w:sz w:val="22"/>
          <w:szCs w:val="22"/>
        </w:rPr>
        <w:t>(</w:t>
      </w:r>
      <w:r>
        <w:rPr>
          <w:rFonts w:cs="Arial" w:ascii="Arial" w:hAnsi="Arial"/>
          <w:bCs/>
          <w:sz w:val="22"/>
          <w:szCs w:val="22"/>
        </w:rPr>
        <w:t xml:space="preserve">Quarenta e três mil, quatrocentos e doze reais e cinquenta e sete centavos) </w:t>
      </w:r>
      <w:r>
        <w:rPr>
          <w:rFonts w:cs="Arial" w:ascii="Arial" w:hAnsi="Arial"/>
          <w:bCs/>
          <w:sz w:val="22"/>
          <w:szCs w:val="22"/>
        </w:rPr>
        <w:t xml:space="preserve">Oitenta e três mil, oitocentos e oitenta e nova reais e setenta centavos) os quais correrão por conta do exercício orçamentário do ano de 2017 conforme dotação orçamentária a ser determinada pela Secretaria Municipal de Educação e </w:t>
      </w:r>
      <w:r>
        <w:rPr>
          <w:rFonts w:cs="Arial" w:ascii="Arial" w:hAnsi="Arial"/>
          <w:b/>
          <w:bCs/>
          <w:sz w:val="22"/>
          <w:szCs w:val="22"/>
        </w:rPr>
        <w:t>sendo 100% de Recursos Próprios Municipais</w:t>
      </w:r>
      <w:r>
        <w:rPr>
          <w:rFonts w:cs="Arial" w:ascii="Arial" w:hAnsi="Arial"/>
          <w:bCs/>
          <w:sz w:val="22"/>
          <w:szCs w:val="22"/>
        </w:rPr>
        <w:t>.</w:t>
      </w:r>
    </w:p>
    <w:p>
      <w:pPr>
        <w:pStyle w:val="Normal"/>
        <w:tabs>
          <w:tab w:val="left" w:pos="851" w:leader="none"/>
        </w:tabs>
        <w:spacing w:lineRule="auto" w:line="276" w:before="0" w:after="120"/>
        <w:jc w:val="both"/>
        <w:rPr>
          <w:rFonts w:ascii="Arial" w:hAnsi="Arial" w:cs="Arial"/>
          <w:bCs/>
          <w:sz w:val="22"/>
          <w:szCs w:val="22"/>
        </w:rPr>
      </w:pPr>
      <w:r>
        <w:rPr>
          <w:rFonts w:cs="Arial" w:ascii="Arial" w:hAnsi="Arial"/>
          <w:bCs/>
          <w:sz w:val="22"/>
          <w:szCs w:val="22"/>
        </w:rPr>
      </w:r>
    </w:p>
    <w:p>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pPr>
      <w:r>
        <w:rPr>
          <w:rFonts w:cs="Arial"/>
          <w:bCs w:val="false"/>
          <w:sz w:val="22"/>
          <w:szCs w:val="22"/>
        </w:rPr>
        <w:t>CONDIÇÕES DE PARTICIPAÇÃO.</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 xml:space="preserve"> </w:t>
      </w:r>
      <w:r>
        <w:rPr>
          <w:rFonts w:cs="Arial" w:ascii="Arial" w:hAnsi="Arial"/>
          <w:sz w:val="22"/>
          <w:szCs w:val="22"/>
        </w:rPr>
        <w:t xml:space="preserve">Este Termo de Referência tem como objetivo a habilitação de empresas que: possuam a necessária experiência e capacidade jurídica, técnica, fiscal e financeira para executar seu objeto, bem como a contratação daquela empresa que oferecer a </w:t>
      </w:r>
      <w:r>
        <w:rPr>
          <w:rFonts w:cs="Arial" w:ascii="Arial" w:hAnsi="Arial"/>
          <w:b/>
          <w:sz w:val="22"/>
          <w:szCs w:val="22"/>
        </w:rPr>
        <w:t>PROPOSTA DE MENOR PREÇO GLOBAL</w:t>
      </w:r>
      <w:r>
        <w:rPr>
          <w:rFonts w:cs="Arial" w:ascii="Arial" w:hAnsi="Arial"/>
          <w:sz w:val="22"/>
          <w:szCs w:val="22"/>
        </w:rPr>
        <w:t xml:space="preserve"> para o Município de Itajaí conforme </w:t>
      </w:r>
      <w:r>
        <w:rPr>
          <w:rFonts w:cs="Arial" w:ascii="Arial" w:hAnsi="Arial"/>
          <w:b/>
          <w:sz w:val="22"/>
          <w:szCs w:val="22"/>
        </w:rPr>
        <w:t>REGIME DE EMPREITADA POR PREÇO UNITÁRIO</w:t>
      </w:r>
      <w:r>
        <w:rPr>
          <w:rFonts w:cs="Arial" w:ascii="Arial" w:hAnsi="Arial"/>
          <w:bCs/>
          <w:sz w:val="22"/>
          <w:szCs w:val="22"/>
        </w:rPr>
        <w:t>.</w:t>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 xml:space="preserve"> </w:t>
      </w:r>
      <w:r>
        <w:rPr>
          <w:rFonts w:cs="Arial" w:ascii="Arial" w:hAnsi="Arial"/>
          <w:sz w:val="22"/>
          <w:szCs w:val="22"/>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pPr>
        <w:pStyle w:val="Normal"/>
        <w:widowControl/>
        <w:numPr>
          <w:ilvl w:val="1"/>
          <w:numId w:val="1"/>
        </w:numPr>
        <w:tabs>
          <w:tab w:val="left" w:pos="851" w:leader="none"/>
          <w:tab w:val="left" w:pos="1440" w:leader="none"/>
        </w:tabs>
        <w:suppressAutoHyphens w:val="false"/>
        <w:spacing w:lineRule="auto" w:line="276" w:before="0" w:after="120"/>
        <w:ind w:left="0" w:hanging="0"/>
        <w:jc w:val="both"/>
        <w:rPr/>
      </w:pPr>
      <w:r>
        <w:rPr>
          <w:rFonts w:cs="Arial" w:ascii="Arial" w:hAnsi="Arial"/>
          <w:sz w:val="22"/>
          <w:szCs w:val="22"/>
        </w:rPr>
        <w:t xml:space="preserve">Será permitida a </w:t>
      </w:r>
      <w:r>
        <w:rPr>
          <w:rFonts w:cs="Arial" w:ascii="Arial" w:hAnsi="Arial"/>
          <w:b/>
          <w:sz w:val="22"/>
          <w:szCs w:val="22"/>
        </w:rPr>
        <w:t>SUBCONTRATAÇÃO</w:t>
      </w:r>
      <w:r>
        <w:rPr>
          <w:rFonts w:cs="Arial" w:ascii="Arial" w:hAnsi="Arial"/>
          <w:sz w:val="22"/>
          <w:szCs w:val="22"/>
        </w:rPr>
        <w:t xml:space="preserve"> dos serviços de: Aterro, Infraestrutura, Esquadrias, Bancadas e Divisórias, Instalação Elétricas, Hidráulicas e Lógicas, Instalações de Combate e Prevenção de Incêndio, Cabeamento Estruturado (caso haja necessidade), nestes casos a empresa deverá dispor de um técnico preposto com experiência comprovada em tempo integral na obra, atuando na supervisão dos serviços. A empresa vencedora ficará responsável por todos os serviços contemplados na planilha do contrato independente de subcontratação ou execução direta incluindo qualquer tipo de encargos sociais.</w:t>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A proponente deverá comprovar o capital mínimo ou o valor do patrimônio líquido no valor de 10 % do valor da obra, conforme o art. 31 da Lei 8.666/93.</w:t>
      </w:r>
    </w:p>
    <w:p>
      <w:pPr>
        <w:pStyle w:val="Normal"/>
        <w:widowControl/>
        <w:numPr>
          <w:ilvl w:val="1"/>
          <w:numId w:val="1"/>
        </w:numPr>
        <w:tabs>
          <w:tab w:val="left" w:pos="851" w:leader="none"/>
          <w:tab w:val="left" w:pos="1440"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 xml:space="preserve"> </w:t>
      </w:r>
      <w:r>
        <w:rPr>
          <w:rFonts w:cs="Arial" w:ascii="Arial" w:hAnsi="Arial"/>
          <w:sz w:val="22"/>
          <w:szCs w:val="22"/>
        </w:rPr>
        <w:t xml:space="preserve">Ficará a cargo da empresa contratada, apresentar posteriormente ao recebimento da </w:t>
      </w:r>
      <w:r>
        <w:rPr>
          <w:rFonts w:cs="Arial" w:ascii="Arial" w:hAnsi="Arial"/>
          <w:b/>
          <w:sz w:val="22"/>
          <w:szCs w:val="22"/>
        </w:rPr>
        <w:t>Ordem de Serviço (O.S.)</w:t>
      </w:r>
      <w:r>
        <w:rPr>
          <w:rFonts w:cs="Arial" w:ascii="Arial" w:hAnsi="Arial"/>
          <w:sz w:val="22"/>
          <w:szCs w:val="22"/>
        </w:rPr>
        <w:t xml:space="preserve"> um </w:t>
      </w:r>
      <w:r>
        <w:rPr>
          <w:rFonts w:cs="Arial" w:ascii="Arial" w:hAnsi="Arial"/>
          <w:b/>
          <w:sz w:val="22"/>
          <w:szCs w:val="22"/>
        </w:rPr>
        <w:t>PLANO ESTRATÉGICO DE EXECUÇÃO DE OBRAS</w:t>
      </w:r>
      <w:r>
        <w:rPr>
          <w:rFonts w:cs="Arial" w:ascii="Arial" w:hAnsi="Arial"/>
          <w:sz w:val="22"/>
          <w:szCs w:val="22"/>
        </w:rPr>
        <w:t>, que será submetido à fiscalização, esta aprovará ou não a proposta de trabalho emitida pela contratada.</w:t>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 xml:space="preserve"> </w:t>
      </w:r>
      <w:r>
        <w:rPr>
          <w:rFonts w:cs="Arial" w:ascii="Arial" w:hAnsi="Arial"/>
          <w:sz w:val="22"/>
          <w:szCs w:val="22"/>
        </w:rPr>
        <w:t>A vencedora deverá apresentar junto à Secretaria Municipal da Fazenda a caução no valor de 5% no valor da obra, nas condições previstas no art. 56 da Lei 8.666/93.</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r>
        <w:rPr>
          <w:rFonts w:cs="Arial"/>
          <w:bCs w:val="false"/>
          <w:sz w:val="22"/>
          <w:szCs w:val="22"/>
        </w:rPr>
        <w:t>QUALIFICAÇÃO TÉCNICA.</w:t>
      </w:r>
    </w:p>
    <w:p>
      <w:pPr>
        <w:pStyle w:val="Normal"/>
        <w:tabs>
          <w:tab w:val="left" w:pos="851" w:leader="none"/>
        </w:tabs>
        <w:spacing w:lineRule="auto" w:line="276" w:before="0" w:after="120"/>
        <w:rPr>
          <w:rFonts w:ascii="Arial" w:hAnsi="Arial" w:cs="Arial"/>
          <w:sz w:val="22"/>
          <w:szCs w:val="22"/>
          <w:highlight w:val="yellow"/>
        </w:rPr>
      </w:pPr>
      <w:r>
        <w:rPr>
          <w:rFonts w:cs="Arial" w:ascii="Arial" w:hAnsi="Arial"/>
          <w:sz w:val="22"/>
          <w:szCs w:val="22"/>
          <w:highlight w:val="yellow"/>
        </w:rPr>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 xml:space="preserve">Certidão de inscrição </w:t>
      </w:r>
      <w:r>
        <w:rPr>
          <w:rFonts w:cs="Arial" w:ascii="Arial" w:hAnsi="Arial"/>
          <w:sz w:val="22"/>
          <w:szCs w:val="22"/>
          <w:u w:val="single"/>
        </w:rPr>
        <w:t>da empresa (pessoa jurídica e do(s) responsável(is) técnico(s) (pessoa física)</w:t>
      </w:r>
      <w:r>
        <w:rPr>
          <w:rFonts w:cs="Arial" w:ascii="Arial" w:hAnsi="Arial"/>
          <w:sz w:val="22"/>
          <w:szCs w:val="22"/>
        </w:rPr>
        <w:t xml:space="preserve"> no </w:t>
      </w:r>
      <w:r>
        <w:rPr>
          <w:rFonts w:cs="Arial" w:ascii="Arial" w:hAnsi="Arial"/>
          <w:b/>
          <w:sz w:val="22"/>
          <w:szCs w:val="22"/>
        </w:rPr>
        <w:t>Conselho Regional de Engenharia e Agronomia - CREA</w:t>
      </w:r>
      <w:r>
        <w:rPr>
          <w:rFonts w:cs="Arial" w:ascii="Arial" w:hAnsi="Arial"/>
          <w:sz w:val="22"/>
          <w:szCs w:val="22"/>
        </w:rPr>
        <w:t xml:space="preserve"> ou </w:t>
      </w:r>
      <w:r>
        <w:rPr>
          <w:rFonts w:cs="Arial" w:ascii="Arial" w:hAnsi="Arial"/>
          <w:b/>
          <w:sz w:val="22"/>
          <w:szCs w:val="22"/>
        </w:rPr>
        <w:t>Conselho de Arquitetura e Urbanismo - CAU</w:t>
      </w:r>
      <w:r>
        <w:rPr>
          <w:rFonts w:cs="Arial" w:ascii="Arial" w:hAnsi="Arial"/>
          <w:sz w:val="22"/>
          <w:szCs w:val="22"/>
        </w:rPr>
        <w:t xml:space="preserve">, da região da sede da empresa. </w:t>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 xml:space="preserve">Indicação do responsável técnico ou equipe de profissionais responsáveis técnicos que participarão da condução dos serviços. </w:t>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Além da experiência demonstrada na apresentação da Certidão de Acervo Técnico no órgão competente (CREA ou similar), a comprovação do vínculo empregatício dos profissionais deverá ser feita mediante cópia da Carteira Profissional de Trabalho e da Ficha de Registro de Empregados, sendo admitida a comprovação do vínculo por meio de contrato específico de prestação de serviços, dentro da legislação civil comum.</w:t>
      </w:r>
    </w:p>
    <w:p>
      <w:pPr>
        <w:pStyle w:val="Normal"/>
        <w:widowControl/>
        <w:numPr>
          <w:ilvl w:val="2"/>
          <w:numId w:val="1"/>
        </w:numPr>
        <w:tabs>
          <w:tab w:val="left" w:pos="851" w:leader="none"/>
        </w:tabs>
        <w:suppressAutoHyphens w:val="false"/>
        <w:spacing w:lineRule="auto" w:line="276" w:before="0" w:after="120"/>
        <w:ind w:left="284" w:hanging="0"/>
        <w:jc w:val="both"/>
        <w:rPr>
          <w:rFonts w:ascii="Arial" w:hAnsi="Arial" w:cs="Arial"/>
          <w:sz w:val="22"/>
          <w:szCs w:val="22"/>
        </w:rPr>
      </w:pPr>
      <w:r>
        <w:rPr>
          <w:rFonts w:cs="Arial" w:ascii="Arial" w:hAnsi="Arial"/>
          <w:sz w:val="22"/>
          <w:szCs w:val="22"/>
        </w:rPr>
        <w:t xml:space="preserve">Quando se tratar de dirigente ou sócio da empresa licitante, tal comprovação será feita através do ato constitutivo da mesma e Certidão do </w:t>
      </w:r>
      <w:r>
        <w:rPr>
          <w:rFonts w:cs="Arial" w:ascii="Arial" w:hAnsi="Arial"/>
          <w:b/>
          <w:sz w:val="22"/>
          <w:szCs w:val="22"/>
        </w:rPr>
        <w:t>CREA</w:t>
      </w:r>
      <w:r>
        <w:rPr>
          <w:rFonts w:cs="Arial" w:ascii="Arial" w:hAnsi="Arial"/>
          <w:sz w:val="22"/>
          <w:szCs w:val="22"/>
        </w:rPr>
        <w:t xml:space="preserve"> ou </w:t>
      </w:r>
      <w:r>
        <w:rPr>
          <w:rFonts w:cs="Arial" w:ascii="Arial" w:hAnsi="Arial"/>
          <w:b/>
          <w:sz w:val="22"/>
          <w:szCs w:val="22"/>
        </w:rPr>
        <w:t>CAU</w:t>
      </w:r>
      <w:r>
        <w:rPr>
          <w:rFonts w:cs="Arial" w:ascii="Arial" w:hAnsi="Arial"/>
          <w:sz w:val="22"/>
          <w:szCs w:val="22"/>
        </w:rPr>
        <w:t xml:space="preserve">, devidamente atualizada. </w:t>
      </w:r>
    </w:p>
    <w:p>
      <w:pPr>
        <w:pStyle w:val="Normal"/>
        <w:widowControl/>
        <w:numPr>
          <w:ilvl w:val="2"/>
          <w:numId w:val="1"/>
        </w:numPr>
        <w:tabs>
          <w:tab w:val="left" w:pos="851" w:leader="none"/>
        </w:tabs>
        <w:suppressAutoHyphens w:val="false"/>
        <w:spacing w:lineRule="auto" w:line="276" w:before="0" w:after="120"/>
        <w:ind w:left="284" w:hanging="0"/>
        <w:jc w:val="both"/>
        <w:rPr>
          <w:rFonts w:ascii="Arial" w:hAnsi="Arial" w:cs="Arial"/>
          <w:sz w:val="22"/>
          <w:szCs w:val="22"/>
        </w:rPr>
      </w:pPr>
      <w:r>
        <w:rPr>
          <w:rFonts w:cs="Arial" w:ascii="Arial" w:hAnsi="Arial"/>
          <w:sz w:val="22"/>
          <w:szCs w:val="22"/>
        </w:rPr>
        <w:t xml:space="preserve">Quando se tratar de autônomo, apresentar contrato de prestação de serviços com a empresa licitante. </w:t>
      </w:r>
    </w:p>
    <w:p>
      <w:pPr>
        <w:pStyle w:val="Normal"/>
        <w:widowControl/>
        <w:numPr>
          <w:ilvl w:val="2"/>
          <w:numId w:val="1"/>
        </w:numPr>
        <w:tabs>
          <w:tab w:val="left" w:pos="851" w:leader="none"/>
        </w:tabs>
        <w:suppressAutoHyphens w:val="false"/>
        <w:spacing w:lineRule="auto" w:line="276" w:before="0" w:after="120"/>
        <w:ind w:left="284" w:hanging="0"/>
        <w:jc w:val="both"/>
        <w:rPr>
          <w:rFonts w:ascii="Arial" w:hAnsi="Arial" w:cs="Arial"/>
          <w:sz w:val="22"/>
          <w:szCs w:val="22"/>
        </w:rPr>
      </w:pPr>
      <w:r>
        <w:rPr>
          <w:rFonts w:cs="Arial" w:ascii="Arial" w:hAnsi="Arial"/>
          <w:sz w:val="22"/>
          <w:szCs w:val="22"/>
        </w:rPr>
        <w:t>Não será permitido apresentar comprovação de vínculo de um mesmo profissional, em mais de uma licitante, sob pena de inabilitação de ambas.</w:t>
      </w:r>
    </w:p>
    <w:p>
      <w:pPr>
        <w:pStyle w:val="Normal"/>
        <w:widowControl/>
        <w:numPr>
          <w:ilvl w:val="1"/>
          <w:numId w:val="1"/>
        </w:numPr>
        <w:tabs>
          <w:tab w:val="left" w:pos="851" w:leader="none"/>
        </w:tabs>
        <w:suppressAutoHyphens w:val="false"/>
        <w:spacing w:lineRule="auto" w:line="276" w:before="0" w:after="120"/>
        <w:ind w:left="0" w:hanging="0"/>
        <w:jc w:val="both"/>
        <w:rPr/>
      </w:pPr>
      <w:r>
        <w:rPr>
          <w:rFonts w:cs="Arial" w:ascii="Arial" w:hAnsi="Arial"/>
          <w:sz w:val="22"/>
          <w:szCs w:val="22"/>
        </w:rPr>
        <w:t xml:space="preserve">Comprovação do licitante de possuir em seu quadro permanente, na data da licitação e constante da Certidão de Registro de Pessoa Jurídica do </w:t>
      </w:r>
      <w:r>
        <w:rPr>
          <w:rFonts w:cs="Arial" w:ascii="Arial" w:hAnsi="Arial"/>
          <w:b/>
          <w:sz w:val="22"/>
          <w:szCs w:val="22"/>
        </w:rPr>
        <w:t>CREA</w:t>
      </w:r>
      <w:r>
        <w:rPr>
          <w:rFonts w:cs="Arial" w:ascii="Arial" w:hAnsi="Arial"/>
          <w:sz w:val="22"/>
          <w:szCs w:val="22"/>
        </w:rPr>
        <w:t xml:space="preserve"> ou </w:t>
      </w:r>
      <w:r>
        <w:rPr>
          <w:rFonts w:cs="Arial" w:ascii="Arial" w:hAnsi="Arial"/>
          <w:b/>
          <w:sz w:val="22"/>
          <w:szCs w:val="22"/>
        </w:rPr>
        <w:t>CAU</w:t>
      </w:r>
      <w:r>
        <w:rPr>
          <w:rFonts w:cs="Arial" w:ascii="Arial" w:hAnsi="Arial"/>
          <w:sz w:val="22"/>
          <w:szCs w:val="22"/>
        </w:rPr>
        <w:t xml:space="preserve">, engenheiro(s) ou arquiteto(s) detentor(es) de atestado(s) de capacidade com suas respectivas certidão(ões) de acervos técnicos registrados no respectivo conselho da categoria e que comprovem a </w:t>
      </w:r>
      <w:r>
        <w:rPr>
          <w:rFonts w:cs="Arial" w:ascii="Arial" w:hAnsi="Arial"/>
          <w:b/>
          <w:sz w:val="22"/>
          <w:szCs w:val="22"/>
        </w:rPr>
        <w:t>EXECUÇÃO</w:t>
      </w:r>
      <w:r>
        <w:rPr>
          <w:rFonts w:cs="Arial" w:ascii="Arial" w:hAnsi="Arial"/>
          <w:sz w:val="22"/>
          <w:szCs w:val="22"/>
        </w:rPr>
        <w:t xml:space="preserve"> do(s) serviços a seguir relacionados:</w:t>
      </w:r>
    </w:p>
    <w:p>
      <w:pPr>
        <w:pStyle w:val="Normal"/>
        <w:tabs>
          <w:tab w:val="left" w:pos="851" w:leader="none"/>
        </w:tabs>
        <w:spacing w:lineRule="auto" w:line="276" w:before="0" w:after="120"/>
        <w:jc w:val="both"/>
        <w:rPr>
          <w:rFonts w:ascii="Arial" w:hAnsi="Arial" w:cs="Arial"/>
          <w:b/>
          <w:b/>
          <w:sz w:val="22"/>
          <w:szCs w:val="22"/>
        </w:rPr>
      </w:pPr>
      <w:r>
        <w:rPr>
          <w:rFonts w:cs="Arial" w:ascii="Arial" w:hAnsi="Arial"/>
          <w:b/>
          <w:sz w:val="22"/>
          <w:szCs w:val="22"/>
        </w:rPr>
      </w:r>
    </w:p>
    <w:tbl>
      <w:tblPr>
        <w:tblW w:w="8505" w:type="dxa"/>
        <w:jc w:val="left"/>
        <w:tblInd w:w="47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45" w:type="dxa"/>
          <w:bottom w:w="0" w:type="dxa"/>
          <w:right w:w="70" w:type="dxa"/>
        </w:tblCellMar>
        <w:tblLook w:val="0000"/>
      </w:tblPr>
      <w:tblGrid>
        <w:gridCol w:w="4394"/>
        <w:gridCol w:w="4110"/>
      </w:tblGrid>
      <w:tr>
        <w:trPr>
          <w:tblHeader w:val="true"/>
          <w:trHeight w:val="624" w:hRule="atLeast"/>
          <w:cantSplit w:val="true"/>
        </w:trPr>
        <w:tc>
          <w:tcPr>
            <w:tcW w:w="439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99CCFF" w:val="clear"/>
            <w:tcMar>
              <w:left w:w="45" w:type="dxa"/>
            </w:tcMar>
            <w:vAlign w:val="center"/>
          </w:tcPr>
          <w:p>
            <w:pPr>
              <w:pStyle w:val="Normal"/>
              <w:tabs>
                <w:tab w:val="left" w:pos="851" w:leader="none"/>
              </w:tabs>
              <w:spacing w:lineRule="auto" w:line="276" w:before="0" w:after="120"/>
              <w:jc w:val="center"/>
              <w:rPr/>
            </w:pPr>
            <w:r>
              <w:rPr>
                <w:rFonts w:cs="Arial" w:ascii="Arial" w:hAnsi="Arial"/>
                <w:b/>
                <w:bCs/>
                <w:sz w:val="22"/>
                <w:szCs w:val="22"/>
              </w:rPr>
              <w:t>SERVIÇO DE RELEVÂNCIA TÉCNICA</w:t>
            </w:r>
          </w:p>
        </w:tc>
        <w:tc>
          <w:tcPr>
            <w:tcW w:w="41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99CCFF" w:val="clear"/>
            <w:tcMar>
              <w:left w:w="45" w:type="dxa"/>
            </w:tcMar>
            <w:vAlign w:val="center"/>
          </w:tcPr>
          <w:p>
            <w:pPr>
              <w:pStyle w:val="Normal"/>
              <w:tabs>
                <w:tab w:val="left" w:pos="851" w:leader="none"/>
              </w:tabs>
              <w:spacing w:lineRule="auto" w:line="276" w:before="0" w:after="120"/>
              <w:jc w:val="center"/>
              <w:rPr>
                <w:rFonts w:ascii="Arial" w:hAnsi="Arial" w:cs="Arial"/>
                <w:b/>
                <w:b/>
                <w:bCs/>
                <w:sz w:val="22"/>
                <w:szCs w:val="22"/>
              </w:rPr>
            </w:pPr>
            <w:r>
              <w:rPr>
                <w:rFonts w:cs="Arial" w:ascii="Arial" w:hAnsi="Arial"/>
                <w:b/>
                <w:bCs/>
                <w:sz w:val="22"/>
                <w:szCs w:val="22"/>
              </w:rPr>
              <w:t>COMPROVAÇÃO QUANT. MÍNIMA</w:t>
            </w:r>
          </w:p>
        </w:tc>
      </w:tr>
      <w:tr>
        <w:trPr>
          <w:trHeight w:val="454" w:hRule="atLeast"/>
          <w:cantSplit w:val="true"/>
        </w:trPr>
        <w:tc>
          <w:tcPr>
            <w:tcW w:w="439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45" w:type="dxa"/>
            </w:tcMar>
            <w:vAlign w:val="center"/>
          </w:tcPr>
          <w:p>
            <w:pPr>
              <w:pStyle w:val="Normal"/>
              <w:snapToGrid w:val="false"/>
              <w:jc w:val="center"/>
              <w:rPr>
                <w:rFonts w:ascii="Arial" w:hAnsi="Arial" w:cs="Arial"/>
                <w:b/>
                <w:b/>
                <w:bCs/>
              </w:rPr>
            </w:pPr>
            <w:r>
              <w:rPr>
                <w:rFonts w:cs="Arial" w:ascii="Arial" w:hAnsi="Arial"/>
                <w:b/>
                <w:bCs/>
              </w:rPr>
              <w:t>Concreto Armado</w:t>
            </w:r>
          </w:p>
        </w:tc>
        <w:tc>
          <w:tcPr>
            <w:tcW w:w="41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45" w:type="dxa"/>
            </w:tcMar>
            <w:vAlign w:val="center"/>
          </w:tcPr>
          <w:p>
            <w:pPr>
              <w:pStyle w:val="Normal"/>
              <w:snapToGrid w:val="false"/>
              <w:jc w:val="center"/>
              <w:rPr>
                <w:b/>
                <w:b/>
                <w:bCs/>
              </w:rPr>
            </w:pPr>
            <w:r>
              <w:rPr>
                <w:rFonts w:cs="Arial" w:ascii="Calibri" w:hAnsi="Calibri"/>
                <w:b/>
                <w:bCs/>
                <w:sz w:val="24"/>
                <w:szCs w:val="24"/>
              </w:rPr>
              <w:t>3,40</w:t>
            </w:r>
            <w:r>
              <w:rPr>
                <w:rFonts w:cs="Arial" w:ascii="Calibri" w:hAnsi="Calibri"/>
                <w:b/>
                <w:bCs/>
                <w:sz w:val="24"/>
                <w:szCs w:val="24"/>
              </w:rPr>
              <w:t xml:space="preserve"> m</w:t>
            </w:r>
            <w:r>
              <w:rPr>
                <w:rFonts w:cs="Arial" w:ascii="Calibri" w:hAnsi="Calibri"/>
                <w:b/>
                <w:bCs/>
                <w:sz w:val="24"/>
                <w:szCs w:val="24"/>
              </w:rPr>
              <w:t>³</w:t>
            </w:r>
          </w:p>
        </w:tc>
      </w:tr>
    </w:tbl>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Será permitida a apresentação de certidão(ões) e atestado(s) proveniente(s) de contratos, para atendimento das condições do quadro acima.</w:t>
      </w:r>
    </w:p>
    <w:p>
      <w:pPr>
        <w:pStyle w:val="Normal"/>
        <w:tabs>
          <w:tab w:val="left" w:pos="851" w:leader="none"/>
        </w:tabs>
        <w:spacing w:lineRule="auto" w:line="276" w:before="0" w:after="120"/>
        <w:ind w:left="284" w:hanging="0"/>
        <w:jc w:val="both"/>
        <w:rPr>
          <w:rFonts w:ascii="Arial" w:hAnsi="Arial" w:cs="Arial"/>
          <w:sz w:val="22"/>
          <w:szCs w:val="22"/>
        </w:rPr>
      </w:pPr>
      <w:r>
        <w:rPr>
          <w:rFonts w:cs="Arial" w:ascii="Arial" w:hAnsi="Arial"/>
          <w:sz w:val="22"/>
          <w:szCs w:val="22"/>
        </w:rPr>
        <w:t xml:space="preserve">7.5.1. Somente serão aceitos atestado(s) e certidão(es) fornecidos por pessoas jurídicas de direito público ou privado, devidamente certificados pelo </w:t>
      </w:r>
      <w:r>
        <w:rPr>
          <w:rFonts w:cs="Arial" w:ascii="Arial" w:hAnsi="Arial"/>
          <w:b/>
          <w:sz w:val="22"/>
          <w:szCs w:val="22"/>
        </w:rPr>
        <w:t>CREA</w:t>
      </w:r>
      <w:r>
        <w:rPr>
          <w:rFonts w:cs="Arial" w:ascii="Arial" w:hAnsi="Arial"/>
          <w:sz w:val="22"/>
          <w:szCs w:val="22"/>
        </w:rPr>
        <w:t xml:space="preserve"> ou </w:t>
      </w:r>
      <w:r>
        <w:rPr>
          <w:rFonts w:cs="Arial" w:ascii="Arial" w:hAnsi="Arial"/>
          <w:b/>
          <w:sz w:val="22"/>
          <w:szCs w:val="22"/>
        </w:rPr>
        <w:t>CAU</w:t>
      </w:r>
      <w:r>
        <w:rPr>
          <w:rFonts w:cs="Arial" w:ascii="Arial" w:hAnsi="Arial"/>
          <w:sz w:val="22"/>
          <w:szCs w:val="22"/>
        </w:rPr>
        <w:t xml:space="preserve"> da região onde foram executados os serviços.</w:t>
      </w:r>
    </w:p>
    <w:p>
      <w:pPr>
        <w:pStyle w:val="Normal"/>
        <w:tabs>
          <w:tab w:val="left" w:pos="851" w:leader="none"/>
        </w:tabs>
        <w:spacing w:lineRule="auto" w:line="276" w:before="0" w:after="120"/>
        <w:ind w:left="284" w:hanging="0"/>
        <w:jc w:val="both"/>
        <w:rPr>
          <w:rFonts w:ascii="Arial" w:hAnsi="Arial" w:cs="Arial"/>
          <w:sz w:val="22"/>
          <w:szCs w:val="22"/>
        </w:rPr>
      </w:pPr>
      <w:r>
        <w:rPr>
          <w:rFonts w:cs="Arial" w:ascii="Arial" w:hAnsi="Arial"/>
          <w:sz w:val="22"/>
          <w:szCs w:val="22"/>
        </w:rPr>
        <w:t>7.5.2. Apresentar somente o(s) atestado(s) e certidão(ões) necessário(s) e suficiente(s) para a comprovação do exigido.</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t>7.6.  Deverão ser observadas as seguintes condições na apresentação dos Atestados:</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t>A(s) certidão(ões) e/ou atestado(s) apresentado(s) deverá(ão) conter as seguintes informações básicas:</w:t>
      </w:r>
    </w:p>
    <w:p>
      <w:pPr>
        <w:pStyle w:val="Normal"/>
        <w:widowControl/>
        <w:numPr>
          <w:ilvl w:val="3"/>
          <w:numId w:val="3"/>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Nome do contratado e do contratante;</w:t>
      </w:r>
    </w:p>
    <w:p>
      <w:pPr>
        <w:pStyle w:val="Normal"/>
        <w:widowControl/>
        <w:numPr>
          <w:ilvl w:val="3"/>
          <w:numId w:val="3"/>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Identificação do objeto do contrato (tipo ou natureza da obra);</w:t>
      </w:r>
    </w:p>
    <w:p>
      <w:pPr>
        <w:pStyle w:val="Normal"/>
        <w:widowControl/>
        <w:numPr>
          <w:ilvl w:val="3"/>
          <w:numId w:val="3"/>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Localização e data da realização da obra;</w:t>
      </w:r>
    </w:p>
    <w:p>
      <w:pPr>
        <w:pStyle w:val="Normal"/>
        <w:widowControl/>
        <w:numPr>
          <w:ilvl w:val="3"/>
          <w:numId w:val="3"/>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Serviços executados.</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t xml:space="preserve">7.7. O atestado ou certidão que não atender a todas as características citadas nas condições acima, não será considerado pela </w:t>
      </w:r>
      <w:r>
        <w:rPr>
          <w:rFonts w:cs="Arial" w:ascii="Arial" w:hAnsi="Arial"/>
          <w:b/>
          <w:sz w:val="22"/>
          <w:szCs w:val="22"/>
        </w:rPr>
        <w:t xml:space="preserve">Comissão de Licitação. </w:t>
      </w:r>
    </w:p>
    <w:p>
      <w:pPr>
        <w:pStyle w:val="Normal"/>
        <w:tabs>
          <w:tab w:val="left" w:pos="426" w:leader="none"/>
          <w:tab w:val="left" w:pos="851" w:leader="none"/>
        </w:tabs>
        <w:spacing w:lineRule="auto" w:line="276" w:before="0" w:after="120"/>
        <w:jc w:val="both"/>
        <w:rPr>
          <w:rStyle w:val="Applestylespan"/>
          <w:rFonts w:ascii="Arial" w:hAnsi="Arial" w:eastAsia="Calibri" w:cs="Arial"/>
          <w:sz w:val="22"/>
          <w:szCs w:val="22"/>
        </w:rPr>
      </w:pPr>
      <w:r>
        <w:rPr>
          <w:rFonts w:cs="Arial" w:ascii="Arial" w:hAnsi="Arial"/>
          <w:sz w:val="22"/>
          <w:szCs w:val="22"/>
        </w:rPr>
        <w:t xml:space="preserve">7.8.   A montagem e supervisão da equipe técnica e operacional, ficará inteiramente a cargo da contratada, observando a alocação de profissionais devidamente habilitados para cada especialidade. Neste particular, por ocasião da execução do objeto, a </w:t>
      </w:r>
      <w:r>
        <w:rPr>
          <w:rFonts w:cs="Arial" w:ascii="Arial" w:hAnsi="Arial"/>
          <w:b/>
          <w:sz w:val="22"/>
          <w:szCs w:val="22"/>
        </w:rPr>
        <w:t xml:space="preserve">fiscalização </w:t>
      </w:r>
      <w:r>
        <w:rPr>
          <w:rFonts w:cs="Arial" w:ascii="Arial" w:hAnsi="Arial"/>
          <w:sz w:val="22"/>
          <w:szCs w:val="22"/>
        </w:rPr>
        <w:t>poderá exercer o direito a veto de profissionais que não estejam qualificados de acordo com suas atribuições ou mesmo que qualificados, não estejam correspondendo no desenvolvimento do objeto pretendido.</w:t>
      </w:r>
      <w:r>
        <w:rPr>
          <w:rStyle w:val="Applestylespan"/>
          <w:rFonts w:eastAsia="Calibri" w:cs="Arial" w:ascii="Arial" w:hAnsi="Arial"/>
          <w:sz w:val="22"/>
          <w:szCs w:val="22"/>
        </w:rPr>
        <w:t xml:space="preserve"> </w:t>
      </w:r>
    </w:p>
    <w:p>
      <w:pPr>
        <w:pStyle w:val="Normal"/>
        <w:tabs>
          <w:tab w:val="left" w:pos="426" w:leader="none"/>
          <w:tab w:val="left" w:pos="851" w:leader="none"/>
        </w:tabs>
        <w:spacing w:lineRule="auto" w:line="276" w:before="0" w:after="120"/>
        <w:jc w:val="both"/>
        <w:rPr>
          <w:rStyle w:val="Applestylespan"/>
          <w:rFonts w:ascii="Arial" w:hAnsi="Arial" w:eastAsia="Calibri" w:cs="Arial"/>
          <w:sz w:val="22"/>
          <w:szCs w:val="22"/>
        </w:rPr>
      </w:pPr>
      <w:r>
        <w:rPr>
          <w:rFonts w:eastAsia="Calibri" w:cs="Arial" w:ascii="Arial" w:hAnsi="Arial"/>
          <w:sz w:val="22"/>
          <w:szCs w:val="22"/>
        </w:rPr>
      </w:r>
    </w:p>
    <w:p>
      <w:pPr>
        <w:pStyle w:val="Ttulo1"/>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pacing w:lineRule="auto" w:line="276" w:before="0" w:after="0"/>
        <w:jc w:val="both"/>
        <w:rPr>
          <w:rFonts w:cs="Arial"/>
          <w:bCs w:val="false"/>
          <w:sz w:val="22"/>
          <w:szCs w:val="22"/>
        </w:rPr>
      </w:pPr>
      <w:r>
        <w:rPr>
          <w:rFonts w:cs="Arial"/>
          <w:bCs w:val="false"/>
          <w:sz w:val="22"/>
          <w:szCs w:val="22"/>
        </w:rPr>
        <w:t>8.  OBRIGAÇÕES DA CONTRATADA.</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r>
    </w:p>
    <w:p>
      <w:pPr>
        <w:pStyle w:val="Normal"/>
        <w:tabs>
          <w:tab w:val="left" w:pos="851" w:leader="none"/>
        </w:tabs>
        <w:spacing w:lineRule="auto" w:line="276" w:before="0" w:after="120"/>
        <w:jc w:val="both"/>
        <w:rPr/>
      </w:pPr>
      <w:r>
        <w:rPr>
          <w:rFonts w:eastAsia="Calibri" w:cs="Arial" w:ascii="Arial" w:hAnsi="Arial"/>
          <w:sz w:val="22"/>
          <w:szCs w:val="22"/>
        </w:rPr>
        <w:t>8.1. Fornecimento de material, mão de obra, equipamentos, transporte de pessoal, alimentação, hospedagem, obrigações fiscais e sociais, seguros por danos pessoais, materiais, responsabilidades técnicas e civil, correrão à custa exclusiva do proponente vencedor.</w:t>
      </w:r>
    </w:p>
    <w:p>
      <w:pPr>
        <w:pStyle w:val="Normal"/>
        <w:tabs>
          <w:tab w:val="left" w:pos="851" w:leader="none"/>
        </w:tabs>
        <w:spacing w:lineRule="auto" w:line="276" w:before="0" w:after="120"/>
        <w:jc w:val="both"/>
        <w:rPr/>
      </w:pPr>
      <w:r>
        <w:rPr>
          <w:rFonts w:eastAsia="Calibri" w:cs="Arial" w:ascii="Arial" w:hAnsi="Arial"/>
          <w:sz w:val="22"/>
          <w:szCs w:val="22"/>
        </w:rPr>
        <w:t>8.2. Os materiais utilizados na obra deverão seguir as especificações técnicas exigidas pela fiscalização da obra.</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8.3. Os serviços serão executados após ordem de serviços, emitida pela Secretaria Municipal de Educação, sendo os mesmos acompanhados e fiscalizados por técnicos da mesma.</w:t>
      </w:r>
    </w:p>
    <w:p>
      <w:pPr>
        <w:pStyle w:val="Normal"/>
        <w:tabs>
          <w:tab w:val="left" w:pos="851" w:leader="none"/>
        </w:tabs>
        <w:spacing w:lineRule="auto" w:line="276" w:before="0" w:after="120"/>
        <w:jc w:val="both"/>
        <w:rPr/>
      </w:pPr>
      <w:r>
        <w:rPr>
          <w:rFonts w:eastAsia="Calibri" w:cs="Arial" w:ascii="Arial" w:hAnsi="Arial"/>
          <w:sz w:val="22"/>
          <w:szCs w:val="22"/>
        </w:rPr>
        <w:t>8.4. É de inteira responsabilidade do proponente/ contratado a fiel execução dos serviços, de forma que a obra seja concluída de acordo com a boa técnica e Normas específicas.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8.5. Não será admitida pelos licitantes/contratado, a alegação de falta de peças técnicas e/ou desconhecimento do processo/ serviços.</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8.6.</w:t>
      </w:r>
      <w:r>
        <w:rPr>
          <w:rFonts w:cs="Arial" w:ascii="Arial" w:hAnsi="Arial"/>
          <w:b/>
          <w:sz w:val="22"/>
          <w:szCs w:val="22"/>
        </w:rPr>
        <w:t xml:space="preserve"> </w:t>
      </w:r>
      <w:r>
        <w:rPr>
          <w:rFonts w:cs="Arial" w:ascii="Arial" w:hAnsi="Arial"/>
          <w:sz w:val="22"/>
          <w:szCs w:val="22"/>
        </w:rPr>
        <w:t>Colocar a serviço sempre pessoal tecnicamente qualificados e especializados sempre que for necessário que deverão apresentar-se asseados e uniformizados. A mão de obra empregada pela contratada deverá ser corretamente dimensionada para atender ao Cronograma de Execução da Obra.</w:t>
      </w:r>
    </w:p>
    <w:p>
      <w:pPr>
        <w:pStyle w:val="Corpodetexto"/>
        <w:tabs>
          <w:tab w:val="left" w:pos="851" w:leader="none"/>
        </w:tabs>
        <w:spacing w:lineRule="auto" w:line="276"/>
        <w:jc w:val="both"/>
        <w:rPr>
          <w:rFonts w:ascii="Arial" w:hAnsi="Arial" w:cs="Arial"/>
          <w:sz w:val="22"/>
          <w:szCs w:val="22"/>
        </w:rPr>
      </w:pPr>
      <w:r>
        <w:rPr>
          <w:rFonts w:eastAsia="Calibri" w:cs="Arial" w:ascii="Arial" w:hAnsi="Arial"/>
          <w:sz w:val="22"/>
          <w:szCs w:val="22"/>
        </w:rPr>
        <w:t xml:space="preserve">8.7. </w:t>
      </w:r>
      <w:r>
        <w:rPr>
          <w:rFonts w:cs="Arial" w:ascii="Arial" w:hAnsi="Arial"/>
          <w:sz w:val="22"/>
          <w:szCs w:val="22"/>
        </w:rPr>
        <w:t>Manter sempre em serviço um supervisor credenciado e preparado para responder prontamente pela empresa junto a Secretaria Municipal de Educação.</w:t>
      </w:r>
    </w:p>
    <w:p>
      <w:pPr>
        <w:pStyle w:val="Corpodetexto"/>
        <w:tabs>
          <w:tab w:val="left" w:pos="851" w:leader="none"/>
        </w:tabs>
        <w:spacing w:lineRule="auto" w:line="276"/>
        <w:jc w:val="both"/>
        <w:rPr>
          <w:rFonts w:ascii="Arial" w:hAnsi="Arial" w:cs="Arial"/>
          <w:sz w:val="22"/>
          <w:szCs w:val="22"/>
        </w:rPr>
      </w:pPr>
      <w:r>
        <w:rPr>
          <w:rFonts w:eastAsia="Calibri" w:cs="Arial" w:ascii="Arial" w:hAnsi="Arial"/>
          <w:sz w:val="22"/>
          <w:szCs w:val="22"/>
        </w:rPr>
        <w:t xml:space="preserve">8.8. </w:t>
      </w:r>
      <w:r>
        <w:rPr>
          <w:rFonts w:cs="Arial" w:ascii="Arial" w:hAnsi="Arial"/>
          <w:sz w:val="22"/>
          <w:szCs w:val="22"/>
        </w:rPr>
        <w:t>Manter junto a seu escritório plantão apto para resolver quaisquer problemas que possam surgir durante a realização dos trabalhos.</w:t>
      </w:r>
    </w:p>
    <w:p>
      <w:pPr>
        <w:pStyle w:val="Corpodetexto"/>
        <w:tabs>
          <w:tab w:val="left" w:pos="851" w:leader="none"/>
        </w:tabs>
        <w:spacing w:lineRule="auto" w:line="276"/>
        <w:jc w:val="both"/>
        <w:rPr>
          <w:rFonts w:ascii="Arial" w:hAnsi="Arial" w:eastAsia="Calibri" w:cs="Arial"/>
          <w:sz w:val="22"/>
          <w:szCs w:val="22"/>
        </w:rPr>
      </w:pPr>
      <w:r>
        <w:rPr>
          <w:rFonts w:cs="Arial" w:ascii="Arial" w:hAnsi="Arial"/>
          <w:sz w:val="22"/>
          <w:szCs w:val="22"/>
        </w:rPr>
        <w:t>8.9.</w:t>
      </w:r>
      <w:r>
        <w:rPr>
          <w:rFonts w:cs="Arial" w:ascii="Arial" w:hAnsi="Arial"/>
          <w:b/>
          <w:sz w:val="22"/>
          <w:szCs w:val="22"/>
        </w:rPr>
        <w:t xml:space="preserve"> </w:t>
      </w:r>
      <w:r>
        <w:rPr>
          <w:rFonts w:cs="Arial" w:ascii="Arial" w:hAnsi="Arial"/>
          <w:sz w:val="22"/>
          <w:szCs w:val="22"/>
        </w:rPr>
        <w:t>Substituir imediatamente qualquer empregado seu que se mostre inconveniente a qualquer pessoa envolvida na execução do objeto.</w:t>
      </w:r>
      <w:r>
        <w:rPr>
          <w:rFonts w:eastAsia="Calibri" w:cs="Arial" w:ascii="Arial" w:hAnsi="Arial"/>
          <w:sz w:val="22"/>
          <w:szCs w:val="22"/>
        </w:rPr>
        <w:t xml:space="preserve"> </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8.10.</w:t>
      </w:r>
      <w:r>
        <w:rPr>
          <w:rFonts w:cs="Arial" w:ascii="Arial" w:hAnsi="Arial"/>
          <w:b/>
          <w:sz w:val="22"/>
          <w:szCs w:val="22"/>
        </w:rPr>
        <w:t xml:space="preserve"> </w:t>
      </w:r>
      <w:r>
        <w:rPr>
          <w:rFonts w:cs="Arial" w:ascii="Arial" w:hAnsi="Arial"/>
          <w:sz w:val="22"/>
          <w:szCs w:val="22"/>
        </w:rPr>
        <w:t>Toda e qualquer responsabilidade civil, trabalhista previdenciária, de acidente de trabalho gerada por força de vínculo contratual de pessoal e acidentes é de responsabilidade única e exclusiva da licitante vencedora, eximindo a contratante de qualquer ônus.</w:t>
      </w:r>
    </w:p>
    <w:p>
      <w:pPr>
        <w:pStyle w:val="Corpodetexto"/>
        <w:tabs>
          <w:tab w:val="left" w:pos="851" w:leader="none"/>
        </w:tabs>
        <w:spacing w:lineRule="auto" w:line="276"/>
        <w:jc w:val="both"/>
        <w:rPr/>
      </w:pPr>
      <w:r>
        <w:rPr>
          <w:rFonts w:eastAsia="Calibri" w:cs="Arial" w:ascii="Arial" w:hAnsi="Arial"/>
          <w:sz w:val="22"/>
          <w:szCs w:val="22"/>
        </w:rPr>
        <w:t xml:space="preserve">8.11. </w:t>
      </w:r>
      <w:r>
        <w:rPr>
          <w:rFonts w:cs="Arial" w:ascii="Arial" w:hAnsi="Arial"/>
          <w:sz w:val="22"/>
          <w:szCs w:val="22"/>
        </w:rPr>
        <w:t>Solucionar através de providências que se fizerem necessárias as incoerências falhas ou omissões constatadas na execução do contrato.</w:t>
      </w:r>
    </w:p>
    <w:p>
      <w:pPr>
        <w:pStyle w:val="Corpodetexto"/>
        <w:tabs>
          <w:tab w:val="left" w:pos="851" w:leader="none"/>
        </w:tabs>
        <w:spacing w:lineRule="auto" w:line="276"/>
        <w:jc w:val="both"/>
        <w:rPr>
          <w:rFonts w:ascii="Arial" w:hAnsi="Arial" w:cs="Arial"/>
          <w:sz w:val="22"/>
          <w:szCs w:val="22"/>
        </w:rPr>
      </w:pPr>
      <w:r>
        <w:rPr>
          <w:rFonts w:eastAsia="Calibri" w:cs="Arial" w:ascii="Arial" w:hAnsi="Arial"/>
          <w:sz w:val="22"/>
          <w:szCs w:val="22"/>
        </w:rPr>
        <w:t xml:space="preserve">8.12. </w:t>
      </w:r>
      <w:r>
        <w:rPr>
          <w:rFonts w:cs="Arial" w:ascii="Arial" w:hAnsi="Arial"/>
          <w:sz w:val="22"/>
          <w:szCs w:val="22"/>
        </w:rPr>
        <w:t>Fornecer detalhes construtivos que se fizerem necessários para a perfeita execução da obra.</w:t>
      </w:r>
    </w:p>
    <w:p>
      <w:pPr>
        <w:pStyle w:val="Corpodetexto"/>
        <w:tabs>
          <w:tab w:val="left" w:pos="851" w:leader="none"/>
        </w:tabs>
        <w:spacing w:lineRule="auto" w:line="276"/>
        <w:jc w:val="both"/>
        <w:rPr/>
      </w:pPr>
      <w:r>
        <w:rPr>
          <w:rFonts w:eastAsia="Calibri" w:cs="Arial" w:ascii="Arial" w:hAnsi="Arial"/>
          <w:sz w:val="22"/>
          <w:szCs w:val="22"/>
        </w:rPr>
        <w:t xml:space="preserve">8.13. </w:t>
      </w:r>
      <w:r>
        <w:rPr>
          <w:rFonts w:cs="Arial" w:ascii="Arial" w:hAnsi="Arial"/>
          <w:sz w:val="22"/>
          <w:szCs w:val="22"/>
        </w:rPr>
        <w:t>Substituir materiais e equipamentos que sejam considerados defeituosos, inadequados ou inservíveis para a obra.</w:t>
      </w:r>
    </w:p>
    <w:p>
      <w:pPr>
        <w:pStyle w:val="Corpodetexto"/>
        <w:tabs>
          <w:tab w:val="left" w:pos="851" w:leader="none"/>
        </w:tabs>
        <w:spacing w:lineRule="auto" w:line="276"/>
        <w:jc w:val="both"/>
        <w:rPr>
          <w:rFonts w:ascii="Arial" w:hAnsi="Arial" w:cs="Arial"/>
          <w:sz w:val="22"/>
          <w:szCs w:val="22"/>
        </w:rPr>
      </w:pPr>
      <w:r>
        <w:rPr>
          <w:rFonts w:eastAsia="Calibri" w:cs="Arial" w:ascii="Arial" w:hAnsi="Arial"/>
          <w:sz w:val="22"/>
          <w:szCs w:val="22"/>
        </w:rPr>
        <w:t xml:space="preserve">8.14. </w:t>
      </w:r>
      <w:r>
        <w:rPr>
          <w:rFonts w:cs="Arial" w:ascii="Arial" w:hAnsi="Arial"/>
          <w:sz w:val="22"/>
          <w:szCs w:val="22"/>
        </w:rPr>
        <w:t>Que seja refeito qualquer trabalho que não obedeça aos elementos do projeto e demais disposições contratuais, correndo por conta da contratada as despesas decorrentes da correção realizada.</w:t>
      </w:r>
    </w:p>
    <w:p>
      <w:pPr>
        <w:pStyle w:val="Corpodetexto"/>
        <w:tabs>
          <w:tab w:val="left" w:pos="851" w:leader="none"/>
        </w:tabs>
        <w:spacing w:lineRule="auto" w:line="276"/>
        <w:jc w:val="both"/>
        <w:rPr>
          <w:rFonts w:ascii="Arial" w:hAnsi="Arial" w:cs="Arial"/>
          <w:sz w:val="22"/>
          <w:szCs w:val="22"/>
        </w:rPr>
      </w:pPr>
      <w:r>
        <w:rPr>
          <w:rFonts w:eastAsia="Calibri" w:cs="Arial" w:ascii="Arial" w:hAnsi="Arial"/>
          <w:sz w:val="22"/>
          <w:szCs w:val="22"/>
        </w:rPr>
        <w:t xml:space="preserve">8.15. </w:t>
      </w:r>
      <w:r>
        <w:rPr>
          <w:rFonts w:cs="Arial" w:ascii="Arial" w:hAnsi="Arial"/>
          <w:sz w:val="22"/>
          <w:szCs w:val="22"/>
        </w:rPr>
        <w:t>Todos os materiais deverão ser de primeira qualidade e, salvo, os expressamente excluídos adiante, serão inteiramente fornecidos pela contratada.</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8.16.</w:t>
      </w:r>
      <w:r>
        <w:rPr>
          <w:rFonts w:cs="Arial" w:ascii="Arial" w:hAnsi="Arial"/>
          <w:b/>
          <w:sz w:val="22"/>
          <w:szCs w:val="22"/>
        </w:rPr>
        <w:t xml:space="preserve"> </w:t>
      </w:r>
      <w:r>
        <w:rPr>
          <w:rFonts w:cs="Arial" w:ascii="Arial" w:hAnsi="Arial"/>
          <w:sz w:val="22"/>
          <w:szCs w:val="22"/>
        </w:rPr>
        <w:t>Fornecer nota fiscal dos serviços prestados.</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 xml:space="preserve">8.17.A empresa vencedora deverá indicar antes da liberação da </w:t>
      </w:r>
      <w:r>
        <w:rPr>
          <w:rFonts w:cs="Arial" w:ascii="Arial" w:hAnsi="Arial"/>
          <w:b/>
          <w:sz w:val="22"/>
          <w:szCs w:val="22"/>
        </w:rPr>
        <w:t>ORDEM DE SERVIÇO (O.S.)</w:t>
      </w:r>
      <w:r>
        <w:rPr>
          <w:rFonts w:cs="Arial" w:ascii="Arial" w:hAnsi="Arial"/>
          <w:sz w:val="22"/>
          <w:szCs w:val="22"/>
        </w:rPr>
        <w:t xml:space="preserve"> e manter um (</w:t>
      </w:r>
      <w:r>
        <w:rPr>
          <w:rFonts w:cs="Arial" w:ascii="Arial" w:hAnsi="Arial"/>
          <w:b/>
          <w:sz w:val="22"/>
          <w:szCs w:val="22"/>
        </w:rPr>
        <w:t>PREPOSTO)</w:t>
      </w:r>
      <w:r>
        <w:rPr>
          <w:rFonts w:cs="Arial" w:ascii="Arial" w:hAnsi="Arial"/>
          <w:sz w:val="22"/>
          <w:szCs w:val="22"/>
        </w:rPr>
        <w:t>, profissional técnico devidamente habilitado e capacitado), exclusivo nas dependências do local da prestação dos serviços, no horário e nos dias da prestação dos serviços, o qual será responsável pela supervisão dos serviços prestados, dotado de poderes para controlar a frequência, pontualidade, dirimir dúvidas e tratar de quaisquer assuntos relacionados com a execução do contrato.</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8.18. A proponente, à qual for adjudicado o objeto da presente licitação, será notificada a comparecer para assinatura do contrato, devendo para isso efetuar, a título de Caução Inicial, o recolhimento da importância correspondente a 5% (cinco por cento) do valor do contrato. Em caso de rescisão do contrato e/ou interrupções dos trabalhos não serão devolvidos a caução inicial e seus reforços, a não ser que a rescisão e/ou paralisação decorra de acordo firmado com a Prefeitura.</w:t>
      </w:r>
    </w:p>
    <w:p>
      <w:pPr>
        <w:pStyle w:val="Normal"/>
        <w:tabs>
          <w:tab w:val="left" w:pos="851" w:leader="none"/>
        </w:tabs>
        <w:spacing w:lineRule="auto" w:line="276" w:before="0" w:after="120"/>
        <w:jc w:val="both"/>
        <w:rPr>
          <w:rFonts w:ascii="Arial" w:hAnsi="Arial" w:cs="Arial"/>
          <w:bCs/>
          <w:sz w:val="22"/>
          <w:szCs w:val="22"/>
        </w:rPr>
      </w:pPr>
      <w:r>
        <w:rPr>
          <w:rFonts w:cs="Arial" w:ascii="Arial" w:hAnsi="Arial"/>
          <w:bCs/>
          <w:sz w:val="22"/>
          <w:szCs w:val="22"/>
        </w:rPr>
        <w:t>A caução inicial poderá ser feita em uma das seguintes modalidades:</w:t>
      </w:r>
    </w:p>
    <w:p>
      <w:pPr>
        <w:pStyle w:val="Normal"/>
        <w:tabs>
          <w:tab w:val="left" w:pos="851" w:leader="none"/>
        </w:tabs>
        <w:spacing w:lineRule="auto" w:line="276" w:before="0" w:after="120"/>
        <w:ind w:left="709" w:hanging="0"/>
        <w:jc w:val="both"/>
        <w:rPr>
          <w:rFonts w:ascii="Arial" w:hAnsi="Arial" w:cs="Arial"/>
          <w:bCs/>
          <w:sz w:val="22"/>
          <w:szCs w:val="22"/>
        </w:rPr>
      </w:pPr>
      <w:r>
        <w:rPr>
          <w:rFonts w:cs="Arial" w:ascii="Arial" w:hAnsi="Arial"/>
          <w:bCs/>
          <w:sz w:val="22"/>
          <w:szCs w:val="22"/>
        </w:rPr>
        <w:t>a) em moeda corrente no país ou em títulos de dívida pública;</w:t>
      </w:r>
    </w:p>
    <w:p>
      <w:pPr>
        <w:pStyle w:val="Normal"/>
        <w:tabs>
          <w:tab w:val="left" w:pos="851" w:leader="none"/>
        </w:tabs>
        <w:spacing w:lineRule="auto" w:line="276" w:before="0" w:after="120"/>
        <w:ind w:left="709" w:hanging="0"/>
        <w:jc w:val="both"/>
        <w:rPr>
          <w:rFonts w:ascii="Arial" w:hAnsi="Arial" w:cs="Arial"/>
          <w:bCs/>
          <w:sz w:val="22"/>
          <w:szCs w:val="22"/>
        </w:rPr>
      </w:pPr>
      <w:r>
        <w:rPr>
          <w:rFonts w:cs="Arial" w:ascii="Arial" w:hAnsi="Arial"/>
          <w:bCs/>
          <w:sz w:val="22"/>
          <w:szCs w:val="22"/>
        </w:rPr>
        <w:t>b) em fiança bancária;</w:t>
      </w:r>
    </w:p>
    <w:p>
      <w:pPr>
        <w:pStyle w:val="Normal"/>
        <w:tabs>
          <w:tab w:val="left" w:pos="851" w:leader="none"/>
        </w:tabs>
        <w:spacing w:lineRule="auto" w:line="276" w:before="0" w:after="120"/>
        <w:ind w:left="709" w:hanging="0"/>
        <w:jc w:val="both"/>
        <w:rPr/>
      </w:pPr>
      <w:r>
        <w:rPr>
          <w:rFonts w:cs="Arial" w:ascii="Arial" w:hAnsi="Arial"/>
          <w:bCs/>
          <w:sz w:val="22"/>
          <w:szCs w:val="22"/>
        </w:rPr>
        <w:t>c) em seguro-garantia.</w:t>
      </w:r>
    </w:p>
    <w:p>
      <w:pPr>
        <w:pStyle w:val="Normal"/>
        <w:tabs>
          <w:tab w:val="left" w:pos="851" w:leader="none"/>
        </w:tabs>
        <w:spacing w:lineRule="auto" w:line="276" w:before="0" w:after="120"/>
        <w:jc w:val="both"/>
        <w:rPr/>
      </w:pPr>
      <w:r>
        <w:rPr>
          <w:rFonts w:cs="Arial" w:ascii="Arial" w:hAnsi="Arial"/>
          <w:bCs/>
          <w:sz w:val="22"/>
          <w:szCs w:val="22"/>
        </w:rPr>
        <w:t>A caução inicial somente poderá ser levantada 60 (sessenta) dias após o encerramento do contrato.</w:t>
      </w:r>
    </w:p>
    <w:p>
      <w:pPr>
        <w:pStyle w:val="Normal"/>
        <w:tabs>
          <w:tab w:val="left" w:pos="851" w:leader="none"/>
        </w:tabs>
        <w:spacing w:lineRule="auto" w:line="276" w:before="0" w:after="120"/>
        <w:jc w:val="both"/>
        <w:rPr>
          <w:rFonts w:ascii="Arial" w:hAnsi="Arial" w:cs="Arial"/>
          <w:bCs/>
          <w:sz w:val="22"/>
          <w:szCs w:val="22"/>
        </w:rPr>
      </w:pPr>
      <w:r>
        <w:rPr>
          <w:rFonts w:cs="Arial" w:ascii="Arial" w:hAnsi="Arial"/>
          <w:bCs/>
          <w:sz w:val="22"/>
          <w:szCs w:val="22"/>
        </w:rPr>
      </w:r>
    </w:p>
    <w:p>
      <w:pPr>
        <w:pStyle w:val="Ttulo1"/>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pacing w:lineRule="auto" w:line="276" w:before="0" w:after="0"/>
        <w:jc w:val="both"/>
        <w:rPr/>
      </w:pPr>
      <w:r>
        <w:rPr>
          <w:rFonts w:cs="Arial"/>
          <w:bCs w:val="false"/>
          <w:sz w:val="22"/>
          <w:szCs w:val="22"/>
        </w:rPr>
        <w:t>9.   OBRIGAÇÕES DA CONTRATANTE.</w:t>
      </w:r>
    </w:p>
    <w:p>
      <w:pPr>
        <w:pStyle w:val="Corpodetexto"/>
        <w:tabs>
          <w:tab w:val="left" w:pos="851" w:leader="none"/>
        </w:tabs>
        <w:spacing w:lineRule="auto" w:line="276"/>
        <w:jc w:val="both"/>
        <w:rPr>
          <w:rFonts w:ascii="Arial" w:hAnsi="Arial" w:cs="Arial"/>
          <w:b/>
          <w:b/>
          <w:sz w:val="22"/>
          <w:szCs w:val="22"/>
        </w:rPr>
      </w:pPr>
      <w:r>
        <w:rPr>
          <w:rFonts w:cs="Arial" w:ascii="Arial" w:hAnsi="Arial"/>
          <w:b/>
          <w:sz w:val="22"/>
          <w:szCs w:val="22"/>
        </w:rPr>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9.1. Efetuar os pagamentos nos prazos estabelecidos, respeitadas as   disposições da proposta, do presente contrato.</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9.2. Prestar as informações necessárias com clareza, à contratada para execução dos serviços contratados.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9.3. Acompanhar e fiscalizar a execução dos serviços.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9.4. Adotar as medidas solicitadas pela contratada e consideradas necessárias à perfeita execução dos serviços.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9.5. Nomear fiscal para dirimir dúvidas.</w:t>
      </w:r>
    </w:p>
    <w:p>
      <w:pPr>
        <w:pStyle w:val="Corpodetexto"/>
        <w:tabs>
          <w:tab w:val="left" w:pos="851" w:leader="none"/>
        </w:tabs>
        <w:spacing w:lineRule="auto" w:line="276"/>
        <w:jc w:val="both"/>
        <w:rPr>
          <w:rFonts w:ascii="Arial" w:hAnsi="Arial" w:eastAsia="Calibri" w:cs="Arial"/>
          <w:sz w:val="22"/>
          <w:szCs w:val="22"/>
        </w:rPr>
      </w:pPr>
      <w:r>
        <w:rPr>
          <w:rFonts w:eastAsia="Calibri" w:cs="Arial" w:ascii="Arial" w:hAnsi="Arial"/>
          <w:sz w:val="22"/>
          <w:szCs w:val="22"/>
        </w:rPr>
        <w:t>9.6. Dar aceitação dos serviços.</w:t>
      </w:r>
    </w:p>
    <w:p>
      <w:pPr>
        <w:pStyle w:val="Corpodetexto"/>
        <w:tabs>
          <w:tab w:val="left" w:pos="851" w:leader="none"/>
        </w:tabs>
        <w:spacing w:lineRule="auto" w:line="276"/>
        <w:jc w:val="both"/>
        <w:rPr>
          <w:rFonts w:ascii="Arial" w:hAnsi="Arial" w:eastAsia="Calibri" w:cs="Arial"/>
          <w:sz w:val="22"/>
          <w:szCs w:val="22"/>
        </w:rPr>
      </w:pPr>
      <w:r>
        <w:rPr>
          <w:rFonts w:eastAsia="Calibri" w:cs="Arial" w:ascii="Arial" w:hAnsi="Arial"/>
          <w:sz w:val="22"/>
          <w:szCs w:val="22"/>
        </w:rPr>
      </w:r>
    </w:p>
    <w:p>
      <w:pPr>
        <w:pStyle w:val="Ttulo1"/>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pacing w:lineRule="auto" w:line="276" w:before="0" w:after="0"/>
        <w:jc w:val="both"/>
        <w:rPr>
          <w:rFonts w:cs="Arial"/>
          <w:bCs w:val="false"/>
          <w:sz w:val="22"/>
          <w:szCs w:val="22"/>
        </w:rPr>
      </w:pPr>
      <w:r>
        <w:rPr>
          <w:rFonts w:cs="Arial"/>
          <w:bCs w:val="false"/>
          <w:sz w:val="22"/>
          <w:szCs w:val="22"/>
        </w:rPr>
        <w:t>10.  ORÇAMENTO ESTIMADO.</w:t>
      </w:r>
    </w:p>
    <w:p>
      <w:pPr>
        <w:pStyle w:val="Normal"/>
        <w:tabs>
          <w:tab w:val="left" w:pos="851" w:leader="none"/>
        </w:tabs>
        <w:spacing w:lineRule="auto" w:line="276" w:before="0" w:after="120"/>
        <w:rPr>
          <w:rFonts w:ascii="Arial" w:hAnsi="Arial" w:cs="Arial"/>
          <w:sz w:val="22"/>
          <w:szCs w:val="22"/>
        </w:rPr>
      </w:pPr>
      <w:r>
        <w:rPr>
          <w:rFonts w:cs="Arial" w:ascii="Arial" w:hAnsi="Arial"/>
          <w:sz w:val="22"/>
          <w:szCs w:val="22"/>
        </w:rPr>
      </w:r>
    </w:p>
    <w:tbl>
      <w:tblPr>
        <w:tblW w:w="7890" w:type="dxa"/>
        <w:jc w:val="left"/>
        <w:tblInd w:w="50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45" w:type="dxa"/>
          <w:bottom w:w="0" w:type="dxa"/>
          <w:right w:w="70" w:type="dxa"/>
        </w:tblCellMar>
        <w:tblLook w:val="0000"/>
      </w:tblPr>
      <w:tblGrid>
        <w:gridCol w:w="5791"/>
        <w:gridCol w:w="2098"/>
      </w:tblGrid>
      <w:tr>
        <w:trPr>
          <w:trHeight w:val="525" w:hRule="atLeast"/>
        </w:trPr>
        <w:tc>
          <w:tcPr>
            <w:tcW w:w="57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E0E0E0" w:val="clear"/>
            <w:tcMar>
              <w:left w:w="45" w:type="dxa"/>
            </w:tcMar>
            <w:vAlign w:val="center"/>
          </w:tcPr>
          <w:p>
            <w:pPr>
              <w:pStyle w:val="BodyText3"/>
              <w:tabs>
                <w:tab w:val="left" w:pos="851" w:leader="none"/>
              </w:tabs>
              <w:spacing w:lineRule="auto" w:line="276" w:before="0" w:after="120"/>
              <w:jc w:val="center"/>
              <w:rPr/>
            </w:pPr>
            <w:r>
              <w:rPr>
                <w:rFonts w:cs="Arial" w:ascii="Arial" w:hAnsi="Arial"/>
                <w:b/>
                <w:sz w:val="22"/>
                <w:szCs w:val="22"/>
              </w:rPr>
              <w:t>DESCRIÇÃO</w:t>
            </w:r>
          </w:p>
        </w:tc>
        <w:tc>
          <w:tcPr>
            <w:tcW w:w="20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E0E0E0" w:val="clear"/>
            <w:tcMar>
              <w:left w:w="45" w:type="dxa"/>
            </w:tcMar>
            <w:vAlign w:val="center"/>
          </w:tcPr>
          <w:p>
            <w:pPr>
              <w:pStyle w:val="BodyText3"/>
              <w:tabs>
                <w:tab w:val="left" w:pos="851" w:leader="none"/>
              </w:tabs>
              <w:spacing w:lineRule="auto" w:line="276" w:before="0" w:after="120"/>
              <w:jc w:val="center"/>
              <w:rPr>
                <w:rFonts w:ascii="Arial" w:hAnsi="Arial" w:cs="Arial"/>
                <w:b/>
                <w:b/>
                <w:sz w:val="22"/>
                <w:szCs w:val="22"/>
              </w:rPr>
            </w:pPr>
            <w:r>
              <w:rPr>
                <w:rFonts w:cs="Arial" w:ascii="Arial" w:hAnsi="Arial"/>
                <w:b/>
                <w:sz w:val="22"/>
                <w:szCs w:val="22"/>
              </w:rPr>
              <w:t>ORÇAMENTO</w:t>
            </w:r>
          </w:p>
        </w:tc>
      </w:tr>
      <w:tr>
        <w:trPr>
          <w:trHeight w:val="547" w:hRule="atLeast"/>
        </w:trPr>
        <w:tc>
          <w:tcPr>
            <w:tcW w:w="57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45" w:type="dxa"/>
            </w:tcMar>
            <w:vAlign w:val="center"/>
          </w:tcPr>
          <w:p>
            <w:pPr>
              <w:pStyle w:val="Normal"/>
              <w:tabs>
                <w:tab w:val="left" w:pos="851" w:leader="none"/>
              </w:tabs>
              <w:spacing w:lineRule="auto" w:line="276" w:before="0" w:after="120"/>
              <w:jc w:val="center"/>
              <w:rPr>
                <w:sz w:val="24"/>
                <w:szCs w:val="24"/>
              </w:rPr>
            </w:pPr>
            <w:r>
              <w:rPr>
                <w:rFonts w:cs="Arial" w:ascii="Arial" w:hAnsi="Arial"/>
                <w:b/>
                <w:bCs/>
                <w:sz w:val="24"/>
                <w:szCs w:val="24"/>
              </w:rPr>
              <w:t xml:space="preserve">SERVIÇOS COMPLEMENTARES PARA INSTALAÇÃO </w:t>
            </w:r>
            <w:r>
              <w:rPr>
                <w:rFonts w:cs="Arial" w:ascii="Arial" w:hAnsi="Arial"/>
                <w:b/>
                <w:bCs/>
                <w:sz w:val="22"/>
                <w:szCs w:val="22"/>
              </w:rPr>
              <w:t xml:space="preserve">DE SALAS MODULARES </w:t>
            </w:r>
            <w:r>
              <w:rPr>
                <w:rFonts w:cs="Arial" w:ascii="Arial" w:hAnsi="Arial"/>
                <w:b/>
                <w:bCs/>
                <w:sz w:val="22"/>
                <w:szCs w:val="22"/>
              </w:rPr>
              <w:t>EM DUAS UNIDADES</w:t>
            </w:r>
          </w:p>
        </w:tc>
        <w:tc>
          <w:tcPr>
            <w:tcW w:w="20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45" w:type="dxa"/>
            </w:tcMar>
            <w:vAlign w:val="center"/>
          </w:tcPr>
          <w:p>
            <w:pPr>
              <w:pStyle w:val="BodyText3"/>
              <w:tabs>
                <w:tab w:val="left" w:pos="851" w:leader="none"/>
              </w:tabs>
              <w:spacing w:lineRule="auto" w:line="276" w:before="0" w:after="120"/>
              <w:jc w:val="center"/>
              <w:rPr/>
            </w:pPr>
            <w:r>
              <w:rPr>
                <w:rFonts w:cs="Arial" w:ascii="Arial" w:hAnsi="Arial"/>
                <w:b/>
                <w:bCs/>
                <w:sz w:val="22"/>
                <w:szCs w:val="22"/>
              </w:rPr>
              <w:t xml:space="preserve">R$ </w:t>
            </w:r>
            <w:r>
              <w:rPr>
                <w:rFonts w:cs="Arial" w:ascii="Arial" w:hAnsi="Arial"/>
                <w:b/>
                <w:bCs/>
                <w:sz w:val="22"/>
                <w:szCs w:val="22"/>
              </w:rPr>
              <w:t>47.412,57</w:t>
            </w:r>
          </w:p>
        </w:tc>
      </w:tr>
    </w:tbl>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Normal"/>
        <w:tabs>
          <w:tab w:val="left" w:pos="851" w:leader="none"/>
        </w:tabs>
        <w:spacing w:lineRule="auto" w:line="276" w:before="0" w:after="120"/>
        <w:jc w:val="both"/>
        <w:rPr/>
      </w:pPr>
      <w:r>
        <w:rPr>
          <w:rFonts w:cs="Arial" w:ascii="Arial" w:hAnsi="Arial"/>
          <w:sz w:val="22"/>
          <w:szCs w:val="22"/>
        </w:rPr>
        <w:t>10.1. Propostas acima do orçamento estimado serão desclassificadas.</w:t>
      </w:r>
    </w:p>
    <w:p>
      <w:pPr>
        <w:pStyle w:val="Normal"/>
        <w:tabs>
          <w:tab w:val="left" w:pos="851" w:leader="none"/>
        </w:tabs>
        <w:spacing w:lineRule="auto" w:line="276" w:before="0" w:after="120"/>
        <w:jc w:val="both"/>
        <w:rPr/>
      </w:pPr>
      <w:r>
        <w:rPr>
          <w:rFonts w:cs="Arial" w:ascii="Arial" w:hAnsi="Arial"/>
          <w:sz w:val="22"/>
          <w:szCs w:val="22"/>
        </w:rPr>
        <w:t xml:space="preserve">10.2. Se torna </w:t>
      </w:r>
      <w:r>
        <w:rPr>
          <w:rFonts w:cs="Arial" w:ascii="Arial" w:hAnsi="Arial"/>
          <w:b/>
          <w:sz w:val="22"/>
          <w:szCs w:val="22"/>
        </w:rPr>
        <w:t>OBRIGATÓRIO</w:t>
      </w:r>
      <w:r>
        <w:rPr>
          <w:rFonts w:cs="Arial" w:ascii="Arial" w:hAnsi="Arial"/>
          <w:sz w:val="22"/>
          <w:szCs w:val="22"/>
        </w:rPr>
        <w:t xml:space="preserve">, apresentação da composição do </w:t>
      </w:r>
      <w:r>
        <w:rPr>
          <w:rFonts w:cs="Arial" w:ascii="Arial" w:hAnsi="Arial"/>
          <w:b/>
          <w:sz w:val="22"/>
          <w:szCs w:val="22"/>
        </w:rPr>
        <w:t>BDI</w:t>
      </w:r>
      <w:r>
        <w:rPr>
          <w:rFonts w:cs="Arial" w:ascii="Arial" w:hAnsi="Arial"/>
          <w:sz w:val="22"/>
          <w:szCs w:val="22"/>
        </w:rPr>
        <w:t xml:space="preserve"> por parte da licitante contendo os parâmetros:</w:t>
      </w:r>
    </w:p>
    <w:p>
      <w:pPr>
        <w:pStyle w:val="Normal"/>
        <w:tabs>
          <w:tab w:val="left" w:pos="851" w:leader="none"/>
        </w:tabs>
        <w:spacing w:lineRule="auto" w:line="276" w:before="0" w:after="120"/>
        <w:jc w:val="both"/>
        <w:rPr>
          <w:rFonts w:ascii="Arial" w:hAnsi="Arial" w:cs="Arial"/>
          <w:sz w:val="22"/>
          <w:szCs w:val="22"/>
        </w:rPr>
      </w:pPr>
      <w:r>
        <w:rPr/>
      </w:r>
    </w:p>
    <w:tbl>
      <w:tblPr>
        <w:tblW w:w="6379" w:type="dxa"/>
        <w:jc w:val="center"/>
        <w:tblInd w:w="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40" w:type="dxa"/>
          <w:bottom w:w="0" w:type="dxa"/>
          <w:right w:w="70" w:type="dxa"/>
        </w:tblCellMar>
        <w:tblLook w:val="04a0"/>
      </w:tblPr>
      <w:tblGrid>
        <w:gridCol w:w="849"/>
        <w:gridCol w:w="5529"/>
      </w:tblGrid>
      <w:tr>
        <w:trPr>
          <w:trHeight w:val="227" w:hRule="atLeast"/>
        </w:trPr>
        <w:tc>
          <w:tcPr>
            <w:tcW w:w="63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8DB3E2" w:themeFill="text2" w:themeFillTint="66" w:val="clear"/>
            <w:tcMar>
              <w:left w:w="40" w:type="dxa"/>
            </w:tcMar>
            <w:vAlign w:val="center"/>
          </w:tcPr>
          <w:p>
            <w:pPr>
              <w:pStyle w:val="Normal"/>
              <w:tabs>
                <w:tab w:val="left" w:pos="851" w:leader="none"/>
              </w:tabs>
              <w:spacing w:lineRule="auto" w:line="276" w:before="0" w:after="120"/>
              <w:jc w:val="center"/>
              <w:rPr/>
            </w:pPr>
            <w:r>
              <w:rPr>
                <w:rFonts w:cs="Arial" w:ascii="Arial" w:hAnsi="Arial"/>
                <w:b/>
                <w:sz w:val="20"/>
                <w:szCs w:val="20"/>
              </w:rPr>
              <w:t>DESCRIÇÃO</w:t>
            </w:r>
          </w:p>
        </w:tc>
      </w:tr>
      <w:tr>
        <w:trPr>
          <w:trHeight w:val="284" w:hRule="exact"/>
        </w:trPr>
        <w:tc>
          <w:tcPr>
            <w:tcW w:w="8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40" w:type="dxa"/>
            </w:tcMar>
            <w:vAlign w:val="center"/>
          </w:tcPr>
          <w:p>
            <w:pPr>
              <w:pStyle w:val="Normal"/>
              <w:tabs>
                <w:tab w:val="left" w:pos="851" w:leader="none"/>
              </w:tabs>
              <w:spacing w:lineRule="auto" w:line="276" w:before="0" w:after="120"/>
              <w:jc w:val="center"/>
              <w:rPr/>
            </w:pPr>
            <w:r>
              <w:rPr>
                <w:rFonts w:cs="Arial" w:ascii="Arial" w:hAnsi="Arial"/>
                <w:sz w:val="18"/>
                <w:szCs w:val="18"/>
              </w:rPr>
              <w:t>AC</w:t>
            </w:r>
          </w:p>
        </w:tc>
        <w:tc>
          <w:tcPr>
            <w:tcW w:w="5529" w:type="dxa"/>
            <w:tcBorders>
              <w:top w:val="single" w:sz="4" w:space="0" w:color="00000A"/>
              <w:left w:val="single" w:sz="4" w:space="0" w:color="000001"/>
              <w:bottom w:val="single" w:sz="4" w:space="0" w:color="00000A"/>
              <w:right w:val="single" w:sz="4" w:space="0" w:color="000001"/>
              <w:insideH w:val="single" w:sz="4" w:space="0" w:color="00000A"/>
              <w:insideV w:val="single" w:sz="4" w:space="0" w:color="000001"/>
            </w:tcBorders>
            <w:shd w:color="auto" w:fill="auto" w:val="clear"/>
            <w:vAlign w:val="center"/>
          </w:tcPr>
          <w:p>
            <w:pPr>
              <w:pStyle w:val="Normal"/>
              <w:tabs>
                <w:tab w:val="left" w:pos="851" w:leader="none"/>
              </w:tabs>
              <w:spacing w:lineRule="auto" w:line="276" w:before="0" w:after="120"/>
              <w:jc w:val="center"/>
              <w:rPr/>
            </w:pPr>
            <w:r>
              <w:rPr>
                <w:rFonts w:cs="Arial" w:ascii="Arial" w:hAnsi="Arial"/>
                <w:sz w:val="18"/>
                <w:szCs w:val="18"/>
              </w:rPr>
              <w:t>Taxa de Administração Central</w:t>
            </w:r>
          </w:p>
        </w:tc>
      </w:tr>
      <w:tr>
        <w:trPr>
          <w:trHeight w:val="284" w:hRule="exact"/>
        </w:trPr>
        <w:tc>
          <w:tcPr>
            <w:tcW w:w="8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40" w:type="dxa"/>
            </w:tcMar>
            <w:vAlign w:val="center"/>
          </w:tcPr>
          <w:p>
            <w:pPr>
              <w:pStyle w:val="Normal"/>
              <w:tabs>
                <w:tab w:val="left" w:pos="851" w:leader="none"/>
              </w:tabs>
              <w:spacing w:lineRule="auto" w:line="276" w:before="0" w:after="120"/>
              <w:jc w:val="center"/>
              <w:rPr/>
            </w:pPr>
            <w:r>
              <w:rPr>
                <w:rFonts w:cs="Arial" w:ascii="Arial" w:hAnsi="Arial"/>
                <w:sz w:val="18"/>
                <w:szCs w:val="18"/>
              </w:rPr>
              <w:t>S + G</w:t>
            </w:r>
          </w:p>
        </w:tc>
        <w:tc>
          <w:tcPr>
            <w:tcW w:w="5529" w:type="dxa"/>
            <w:tcBorders>
              <w:top w:val="single" w:sz="4" w:space="0" w:color="00000A"/>
              <w:left w:val="single" w:sz="4" w:space="0" w:color="000001"/>
              <w:bottom w:val="single" w:sz="4" w:space="0" w:color="00000A"/>
              <w:right w:val="single" w:sz="4" w:space="0" w:color="000001"/>
              <w:insideH w:val="single" w:sz="4" w:space="0" w:color="00000A"/>
              <w:insideV w:val="single" w:sz="4" w:space="0" w:color="000001"/>
            </w:tcBorders>
            <w:shd w:color="auto" w:fill="auto" w:val="clear"/>
            <w:vAlign w:val="center"/>
          </w:tcPr>
          <w:p>
            <w:pPr>
              <w:pStyle w:val="Normal"/>
              <w:tabs>
                <w:tab w:val="left" w:pos="851" w:leader="none"/>
              </w:tabs>
              <w:spacing w:lineRule="auto" w:line="276" w:before="0" w:after="120"/>
              <w:jc w:val="center"/>
              <w:rPr/>
            </w:pPr>
            <w:r>
              <w:rPr>
                <w:rFonts w:cs="Arial" w:ascii="Arial" w:hAnsi="Arial"/>
                <w:sz w:val="18"/>
                <w:szCs w:val="18"/>
              </w:rPr>
              <w:t>Seguro e Garantia</w:t>
            </w:r>
          </w:p>
        </w:tc>
      </w:tr>
      <w:tr>
        <w:trPr>
          <w:trHeight w:val="284" w:hRule="exact"/>
        </w:trPr>
        <w:tc>
          <w:tcPr>
            <w:tcW w:w="8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40" w:type="dxa"/>
            </w:tcMar>
            <w:vAlign w:val="center"/>
          </w:tcPr>
          <w:p>
            <w:pPr>
              <w:pStyle w:val="Normal"/>
              <w:tabs>
                <w:tab w:val="left" w:pos="851" w:leader="none"/>
              </w:tabs>
              <w:spacing w:lineRule="auto" w:line="276" w:before="0" w:after="120"/>
              <w:jc w:val="center"/>
              <w:rPr/>
            </w:pPr>
            <w:r>
              <w:rPr>
                <w:rFonts w:cs="Arial" w:ascii="Arial" w:hAnsi="Arial"/>
                <w:sz w:val="18"/>
                <w:szCs w:val="18"/>
              </w:rPr>
              <w:t>R</w:t>
            </w:r>
          </w:p>
        </w:tc>
        <w:tc>
          <w:tcPr>
            <w:tcW w:w="5529" w:type="dxa"/>
            <w:tcBorders>
              <w:top w:val="single" w:sz="4" w:space="0" w:color="00000A"/>
              <w:left w:val="single" w:sz="4" w:space="0" w:color="000001"/>
              <w:bottom w:val="single" w:sz="4" w:space="0" w:color="00000A"/>
              <w:right w:val="single" w:sz="4" w:space="0" w:color="000001"/>
              <w:insideH w:val="single" w:sz="4" w:space="0" w:color="00000A"/>
              <w:insideV w:val="single" w:sz="4" w:space="0" w:color="000001"/>
            </w:tcBorders>
            <w:shd w:color="auto" w:fill="auto" w:val="clear"/>
            <w:vAlign w:val="center"/>
          </w:tcPr>
          <w:p>
            <w:pPr>
              <w:pStyle w:val="Normal"/>
              <w:tabs>
                <w:tab w:val="left" w:pos="851" w:leader="none"/>
              </w:tabs>
              <w:spacing w:lineRule="auto" w:line="276" w:before="0" w:after="120"/>
              <w:jc w:val="center"/>
              <w:rPr/>
            </w:pPr>
            <w:r>
              <w:rPr>
                <w:rFonts w:cs="Arial" w:ascii="Arial" w:hAnsi="Arial"/>
                <w:sz w:val="18"/>
                <w:szCs w:val="18"/>
              </w:rPr>
              <w:t>Risco</w:t>
            </w:r>
          </w:p>
        </w:tc>
      </w:tr>
      <w:tr>
        <w:trPr>
          <w:trHeight w:val="284" w:hRule="exact"/>
        </w:trPr>
        <w:tc>
          <w:tcPr>
            <w:tcW w:w="8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40" w:type="dxa"/>
            </w:tcMar>
            <w:vAlign w:val="center"/>
          </w:tcPr>
          <w:p>
            <w:pPr>
              <w:pStyle w:val="Normal"/>
              <w:tabs>
                <w:tab w:val="left" w:pos="851" w:leader="none"/>
              </w:tabs>
              <w:spacing w:lineRule="auto" w:line="276" w:before="0" w:after="120"/>
              <w:jc w:val="center"/>
              <w:rPr/>
            </w:pPr>
            <w:r>
              <w:rPr>
                <w:rFonts w:cs="Arial" w:ascii="Arial" w:hAnsi="Arial"/>
                <w:sz w:val="18"/>
                <w:szCs w:val="18"/>
              </w:rPr>
              <w:t>DF</w:t>
            </w:r>
          </w:p>
        </w:tc>
        <w:tc>
          <w:tcPr>
            <w:tcW w:w="552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40" w:type="dxa"/>
            </w:tcMar>
            <w:vAlign w:val="center"/>
          </w:tcPr>
          <w:p>
            <w:pPr>
              <w:pStyle w:val="Normal"/>
              <w:tabs>
                <w:tab w:val="left" w:pos="851" w:leader="none"/>
              </w:tabs>
              <w:spacing w:lineRule="auto" w:line="276" w:before="0" w:after="120"/>
              <w:jc w:val="center"/>
              <w:rPr/>
            </w:pPr>
            <w:r>
              <w:rPr>
                <w:rFonts w:cs="Arial" w:ascii="Arial" w:hAnsi="Arial"/>
                <w:sz w:val="18"/>
                <w:szCs w:val="18"/>
              </w:rPr>
              <w:t>Despesas Financeiras</w:t>
            </w:r>
          </w:p>
        </w:tc>
      </w:tr>
      <w:tr>
        <w:trPr>
          <w:trHeight w:val="284" w:hRule="exact"/>
        </w:trPr>
        <w:tc>
          <w:tcPr>
            <w:tcW w:w="8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40" w:type="dxa"/>
            </w:tcMar>
            <w:vAlign w:val="center"/>
          </w:tcPr>
          <w:p>
            <w:pPr>
              <w:pStyle w:val="Normal"/>
              <w:tabs>
                <w:tab w:val="left" w:pos="851" w:leader="none"/>
              </w:tabs>
              <w:spacing w:lineRule="auto" w:line="276" w:before="0" w:after="120"/>
              <w:jc w:val="center"/>
              <w:rPr/>
            </w:pPr>
            <w:r>
              <w:rPr>
                <w:rFonts w:cs="Arial" w:ascii="Arial" w:hAnsi="Arial"/>
                <w:sz w:val="18"/>
                <w:szCs w:val="18"/>
              </w:rPr>
              <w:t>L</w:t>
            </w:r>
          </w:p>
        </w:tc>
        <w:tc>
          <w:tcPr>
            <w:tcW w:w="552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40" w:type="dxa"/>
            </w:tcMar>
            <w:vAlign w:val="center"/>
          </w:tcPr>
          <w:p>
            <w:pPr>
              <w:pStyle w:val="Normal"/>
              <w:tabs>
                <w:tab w:val="left" w:pos="851" w:leader="none"/>
              </w:tabs>
              <w:spacing w:lineRule="auto" w:line="276" w:before="0" w:after="120"/>
              <w:jc w:val="center"/>
              <w:rPr/>
            </w:pPr>
            <w:r>
              <w:rPr>
                <w:rFonts w:cs="Arial" w:ascii="Arial" w:hAnsi="Arial"/>
                <w:sz w:val="18"/>
                <w:szCs w:val="18"/>
              </w:rPr>
              <w:t>Lucro/Remuneração</w:t>
            </w:r>
          </w:p>
        </w:tc>
      </w:tr>
      <w:tr>
        <w:trPr>
          <w:trHeight w:val="284" w:hRule="exact"/>
        </w:trPr>
        <w:tc>
          <w:tcPr>
            <w:tcW w:w="8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40" w:type="dxa"/>
            </w:tcMar>
            <w:vAlign w:val="center"/>
          </w:tcPr>
          <w:p>
            <w:pPr>
              <w:pStyle w:val="Normal"/>
              <w:tabs>
                <w:tab w:val="left" w:pos="851" w:leader="none"/>
              </w:tabs>
              <w:spacing w:lineRule="auto" w:line="276" w:before="0" w:after="120"/>
              <w:jc w:val="center"/>
              <w:rPr/>
            </w:pPr>
            <w:r>
              <w:rPr>
                <w:rFonts w:cs="Arial" w:ascii="Arial" w:hAnsi="Arial"/>
                <w:sz w:val="18"/>
                <w:szCs w:val="18"/>
              </w:rPr>
              <w:t>I</w:t>
            </w:r>
          </w:p>
        </w:tc>
        <w:tc>
          <w:tcPr>
            <w:tcW w:w="552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40" w:type="dxa"/>
            </w:tcMar>
            <w:vAlign w:val="center"/>
          </w:tcPr>
          <w:p>
            <w:pPr>
              <w:pStyle w:val="Normal"/>
              <w:tabs>
                <w:tab w:val="left" w:pos="851" w:leader="none"/>
              </w:tabs>
              <w:spacing w:lineRule="auto" w:line="276" w:before="0" w:after="120"/>
              <w:jc w:val="center"/>
              <w:rPr/>
            </w:pPr>
            <w:r>
              <w:rPr>
                <w:rFonts w:cs="Arial" w:ascii="Arial" w:hAnsi="Arial"/>
                <w:sz w:val="18"/>
                <w:szCs w:val="18"/>
              </w:rPr>
              <w:t>(IMPOSTOS) PIS, COFINS E ISSQN</w:t>
            </w:r>
          </w:p>
        </w:tc>
      </w:tr>
    </w:tbl>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Normal"/>
        <w:tabs>
          <w:tab w:val="left" w:pos="851" w:leader="none"/>
        </w:tabs>
        <w:spacing w:lineRule="auto" w:line="276" w:before="0" w:after="120"/>
        <w:jc w:val="both"/>
        <w:rPr/>
      </w:pPr>
      <w:r>
        <w:rPr>
          <w:rFonts w:cs="Arial" w:ascii="Arial" w:hAnsi="Arial"/>
          <w:sz w:val="22"/>
          <w:szCs w:val="22"/>
        </w:rPr>
        <w:t xml:space="preserve">10.3.  Será </w:t>
      </w:r>
      <w:r>
        <w:rPr>
          <w:rFonts w:cs="Arial" w:ascii="Arial" w:hAnsi="Arial"/>
          <w:b/>
          <w:sz w:val="22"/>
          <w:szCs w:val="22"/>
        </w:rPr>
        <w:t xml:space="preserve">FACULTADA, </w:t>
      </w:r>
      <w:r>
        <w:rPr>
          <w:rFonts w:cs="Arial" w:ascii="Arial" w:hAnsi="Arial"/>
          <w:sz w:val="22"/>
          <w:szCs w:val="22"/>
        </w:rPr>
        <w:t xml:space="preserve">apresentação da </w:t>
      </w:r>
      <w:r>
        <w:rPr>
          <w:rFonts w:cs="Arial" w:ascii="Arial" w:hAnsi="Arial"/>
          <w:b/>
          <w:sz w:val="22"/>
          <w:szCs w:val="22"/>
        </w:rPr>
        <w:t>DECLARAÇÃO DE VISITA TÉCNICA</w:t>
      </w:r>
      <w:r>
        <w:rPr>
          <w:rFonts w:cs="Arial" w:ascii="Arial" w:hAnsi="Arial"/>
          <w:sz w:val="22"/>
          <w:szCs w:val="22"/>
        </w:rPr>
        <w:t xml:space="preserve"> emitida pela </w:t>
      </w:r>
      <w:r>
        <w:rPr>
          <w:rFonts w:cs="Arial" w:ascii="Arial" w:hAnsi="Arial"/>
          <w:b/>
          <w:sz w:val="22"/>
          <w:szCs w:val="22"/>
        </w:rPr>
        <w:t>CONTRATANTE</w:t>
      </w:r>
      <w:r>
        <w:rPr>
          <w:rFonts w:cs="Arial" w:ascii="Arial" w:hAnsi="Arial"/>
          <w:sz w:val="22"/>
          <w:szCs w:val="22"/>
        </w:rPr>
        <w:t xml:space="preserve"> por parte do Licitante.</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t xml:space="preserve">10.4.  Torna-se </w:t>
      </w:r>
      <w:r>
        <w:rPr>
          <w:rFonts w:cs="Arial" w:ascii="Arial" w:hAnsi="Arial"/>
          <w:b/>
          <w:sz w:val="22"/>
          <w:szCs w:val="22"/>
        </w:rPr>
        <w:t>OBRIGATÓRIO</w:t>
      </w:r>
      <w:r>
        <w:rPr>
          <w:rFonts w:cs="Arial" w:ascii="Arial" w:hAnsi="Arial"/>
          <w:sz w:val="22"/>
          <w:szCs w:val="22"/>
        </w:rPr>
        <w:t xml:space="preserve">, apresentação da </w:t>
      </w:r>
      <w:r>
        <w:rPr>
          <w:rFonts w:cs="Arial" w:ascii="Arial" w:hAnsi="Arial"/>
          <w:b/>
          <w:sz w:val="22"/>
          <w:szCs w:val="22"/>
        </w:rPr>
        <w:t>PLANILHA ORÇAMENTÁRIA</w:t>
      </w:r>
      <w:r>
        <w:rPr>
          <w:rFonts w:cs="Arial" w:ascii="Arial" w:hAnsi="Arial"/>
          <w:sz w:val="22"/>
          <w:szCs w:val="22"/>
        </w:rPr>
        <w:t xml:space="preserve"> proposta pela empresa vencedora contendo a indicação do </w:t>
      </w:r>
      <w:r>
        <w:rPr>
          <w:rFonts w:cs="Arial" w:ascii="Arial" w:hAnsi="Arial"/>
          <w:b/>
          <w:sz w:val="22"/>
          <w:szCs w:val="22"/>
        </w:rPr>
        <w:t>BDI</w:t>
      </w:r>
      <w:r>
        <w:rPr>
          <w:rFonts w:cs="Arial" w:ascii="Arial" w:hAnsi="Arial"/>
          <w:sz w:val="22"/>
          <w:szCs w:val="22"/>
        </w:rPr>
        <w:t>.</w:t>
      </w:r>
    </w:p>
    <w:p>
      <w:pPr>
        <w:pStyle w:val="Normal"/>
        <w:tabs>
          <w:tab w:val="left" w:pos="851" w:leader="none"/>
        </w:tabs>
        <w:spacing w:lineRule="auto" w:line="276" w:before="0" w:after="120"/>
        <w:jc w:val="both"/>
        <w:rPr/>
      </w:pPr>
      <w:r>
        <w:rPr>
          <w:rFonts w:cs="Arial" w:ascii="Arial" w:hAnsi="Arial"/>
          <w:sz w:val="22"/>
          <w:szCs w:val="22"/>
        </w:rPr>
        <w:t xml:space="preserve">10.5.  Torna-se </w:t>
      </w:r>
      <w:r>
        <w:rPr>
          <w:rFonts w:cs="Arial" w:ascii="Arial" w:hAnsi="Arial"/>
          <w:b/>
          <w:sz w:val="22"/>
          <w:szCs w:val="22"/>
        </w:rPr>
        <w:t>OBRIGATÓRIO</w:t>
      </w:r>
      <w:r>
        <w:rPr>
          <w:rFonts w:cs="Arial" w:ascii="Arial" w:hAnsi="Arial"/>
          <w:sz w:val="22"/>
          <w:szCs w:val="22"/>
        </w:rPr>
        <w:t>, apresentação do cronograma físico-financeiro proposto pela empresa vencedora.</w:t>
      </w:r>
    </w:p>
    <w:p>
      <w:pPr>
        <w:pStyle w:val="Normal"/>
        <w:tabs>
          <w:tab w:val="left" w:pos="851" w:leader="none"/>
        </w:tabs>
        <w:spacing w:lineRule="auto" w:line="276" w:before="0" w:after="120"/>
        <w:jc w:val="both"/>
        <w:rPr>
          <w:rFonts w:ascii="Arial" w:hAnsi="Arial" w:cs="Arial"/>
          <w:sz w:val="22"/>
          <w:szCs w:val="22"/>
        </w:rPr>
      </w:pPr>
      <w:r>
        <w:rPr/>
      </w:r>
    </w:p>
    <w:p>
      <w:pPr>
        <w:pStyle w:val="Normal"/>
        <w:tabs>
          <w:tab w:val="left" w:pos="851" w:leader="none"/>
        </w:tabs>
        <w:spacing w:lineRule="auto" w:line="276" w:before="0" w:after="120"/>
        <w:jc w:val="both"/>
        <w:rPr>
          <w:rFonts w:ascii="Arial" w:hAnsi="Arial" w:cs="Arial"/>
          <w:sz w:val="22"/>
          <w:szCs w:val="22"/>
        </w:rPr>
      </w:pPr>
      <w:r>
        <w:rPr/>
      </w:r>
    </w:p>
    <w:p>
      <w:pPr>
        <w:pStyle w:val="Ttulo1"/>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pacing w:lineRule="auto" w:line="276" w:before="0" w:after="0"/>
        <w:jc w:val="both"/>
        <w:rPr>
          <w:rFonts w:cs="Arial"/>
          <w:bCs w:val="false"/>
          <w:sz w:val="22"/>
          <w:szCs w:val="22"/>
        </w:rPr>
      </w:pPr>
      <w:r>
        <w:rPr>
          <w:rFonts w:cs="Arial"/>
          <w:bCs w:val="false"/>
          <w:sz w:val="22"/>
          <w:szCs w:val="22"/>
        </w:rPr>
        <w:t>11.  EXAME DA(S) PROPOSTA(S) DE PREÇOS.</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tab/>
      </w:r>
    </w:p>
    <w:p>
      <w:pPr>
        <w:pStyle w:val="Normal"/>
        <w:widowControl/>
        <w:numPr>
          <w:ilvl w:val="1"/>
          <w:numId w:val="4"/>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As Propostas que atenderem em sua essência aos requisitos do Edital serão verificadas quanto aos seguintes erros, os quais serão corrigidos pela Comissão de Licitação na forma indicada abaixo:</w:t>
      </w:r>
    </w:p>
    <w:p>
      <w:pPr>
        <w:pStyle w:val="Normal"/>
        <w:widowControl/>
        <w:numPr>
          <w:ilvl w:val="2"/>
          <w:numId w:val="4"/>
        </w:numPr>
        <w:tabs>
          <w:tab w:val="left" w:pos="851" w:leader="none"/>
          <w:tab w:val="left" w:pos="993" w:leader="none"/>
          <w:tab w:val="left" w:pos="1418" w:leader="none"/>
        </w:tabs>
        <w:suppressAutoHyphens w:val="false"/>
        <w:spacing w:lineRule="auto" w:line="276" w:before="0" w:after="120"/>
        <w:ind w:left="567" w:hanging="0"/>
        <w:jc w:val="both"/>
        <w:rPr>
          <w:rFonts w:ascii="Arial" w:hAnsi="Arial" w:cs="Arial"/>
          <w:bCs/>
          <w:sz w:val="22"/>
          <w:szCs w:val="22"/>
        </w:rPr>
      </w:pPr>
      <w:r>
        <w:rPr>
          <w:rFonts w:cs="Arial" w:ascii="Arial" w:hAnsi="Arial"/>
          <w:bCs/>
          <w:sz w:val="22"/>
          <w:szCs w:val="22"/>
        </w:rPr>
        <w:t>Discrepância entre valores grafados em algarismos e por extenso: prevalecerá o valor por extenso;</w:t>
      </w:r>
    </w:p>
    <w:p>
      <w:pPr>
        <w:pStyle w:val="PT"/>
        <w:numPr>
          <w:ilvl w:val="2"/>
          <w:numId w:val="4"/>
        </w:numPr>
        <w:tabs>
          <w:tab w:val="left" w:pos="851" w:leader="none"/>
          <w:tab w:val="left" w:pos="993" w:leader="none"/>
          <w:tab w:val="left" w:pos="1418" w:leader="none"/>
        </w:tabs>
        <w:overflowPunct w:val="true"/>
        <w:spacing w:lineRule="auto" w:line="276" w:before="0" w:after="120"/>
        <w:ind w:left="567" w:hanging="0"/>
        <w:textAlignment w:val="auto"/>
        <w:rPr>
          <w:rFonts w:cs="Arial"/>
          <w:b w:val="false"/>
          <w:b w:val="false"/>
          <w:bCs/>
          <w:spacing w:val="0"/>
          <w:sz w:val="22"/>
          <w:szCs w:val="22"/>
        </w:rPr>
      </w:pPr>
      <w:r>
        <w:rPr>
          <w:rFonts w:cs="Arial"/>
          <w:b w:val="false"/>
          <w:bCs/>
          <w:spacing w:val="0"/>
          <w:sz w:val="22"/>
          <w:szCs w:val="22"/>
        </w:rPr>
        <w:t>Erros de transcrição das quantidades do Projeto para a proposta: o produto será corrigido devidamente, mantendo-se o preço unitário e corrigindo-se a quantidade e o preço total;</w:t>
      </w:r>
    </w:p>
    <w:p>
      <w:pPr>
        <w:pStyle w:val="Normal"/>
        <w:widowControl/>
        <w:numPr>
          <w:ilvl w:val="2"/>
          <w:numId w:val="4"/>
        </w:numPr>
        <w:tabs>
          <w:tab w:val="left" w:pos="851" w:leader="none"/>
          <w:tab w:val="left" w:pos="993" w:leader="none"/>
          <w:tab w:val="left" w:pos="1418" w:leader="none"/>
        </w:tabs>
        <w:suppressAutoHyphens w:val="false"/>
        <w:spacing w:lineRule="auto" w:line="276" w:before="0" w:after="120"/>
        <w:ind w:left="567" w:hanging="0"/>
        <w:jc w:val="both"/>
        <w:rPr>
          <w:rFonts w:ascii="Arial" w:hAnsi="Arial" w:cs="Arial"/>
          <w:sz w:val="22"/>
          <w:szCs w:val="22"/>
        </w:rPr>
      </w:pPr>
      <w:r>
        <w:rPr>
          <w:rFonts w:cs="Arial" w:ascii="Arial" w:hAnsi="Arial"/>
          <w:sz w:val="22"/>
          <w:szCs w:val="22"/>
        </w:rPr>
        <w:t>Erro de multiplicação do preço unitário pela quantidade correspondente: será retificado, mantendo-se o preço unitário e a quantidade e corrigindo-se o produto;</w:t>
      </w:r>
    </w:p>
    <w:p>
      <w:pPr>
        <w:pStyle w:val="Normal"/>
        <w:widowControl/>
        <w:numPr>
          <w:ilvl w:val="2"/>
          <w:numId w:val="4"/>
        </w:numPr>
        <w:tabs>
          <w:tab w:val="left" w:pos="851" w:leader="none"/>
          <w:tab w:val="left" w:pos="993" w:leader="none"/>
          <w:tab w:val="left" w:pos="1418" w:leader="none"/>
        </w:tabs>
        <w:suppressAutoHyphens w:val="false"/>
        <w:spacing w:lineRule="auto" w:line="276" w:before="0" w:after="120"/>
        <w:ind w:left="567" w:hanging="0"/>
        <w:jc w:val="both"/>
        <w:rPr>
          <w:rFonts w:ascii="Arial" w:hAnsi="Arial" w:cs="Arial"/>
          <w:sz w:val="22"/>
          <w:szCs w:val="22"/>
        </w:rPr>
      </w:pPr>
      <w:r>
        <w:rPr>
          <w:rFonts w:cs="Arial" w:ascii="Arial" w:hAnsi="Arial"/>
          <w:sz w:val="22"/>
          <w:szCs w:val="22"/>
        </w:rPr>
        <w:t>Erro de adição: será retificado conservando as parcelas corretas e trocando-se a soma;</w:t>
      </w:r>
    </w:p>
    <w:p>
      <w:pPr>
        <w:pStyle w:val="Normal"/>
        <w:widowControl/>
        <w:numPr>
          <w:ilvl w:val="2"/>
          <w:numId w:val="4"/>
        </w:numPr>
        <w:tabs>
          <w:tab w:val="left" w:pos="851" w:leader="none"/>
          <w:tab w:val="left" w:pos="993" w:leader="none"/>
          <w:tab w:val="left" w:pos="1418" w:leader="none"/>
        </w:tabs>
        <w:suppressAutoHyphens w:val="false"/>
        <w:spacing w:lineRule="auto" w:line="276" w:before="0" w:after="120"/>
        <w:ind w:left="567" w:hanging="0"/>
        <w:jc w:val="both"/>
        <w:rPr>
          <w:rFonts w:ascii="Arial" w:hAnsi="Arial" w:cs="Arial"/>
          <w:sz w:val="22"/>
          <w:szCs w:val="22"/>
        </w:rPr>
      </w:pPr>
      <w:r>
        <w:rPr>
          <w:rFonts w:cs="Arial" w:ascii="Arial" w:hAnsi="Arial"/>
          <w:sz w:val="22"/>
          <w:szCs w:val="22"/>
        </w:rPr>
        <w:t>Verificado em qualquer momento, até o término do contrato, incoerências ou divergências de qualquer natureza nas composições dos preços unitários, será adotada a correção que resultar no menor valor.</w:t>
      </w:r>
    </w:p>
    <w:p>
      <w:pPr>
        <w:pStyle w:val="Normal"/>
        <w:widowControl/>
        <w:numPr>
          <w:ilvl w:val="1"/>
          <w:numId w:val="4"/>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pPr>
        <w:pStyle w:val="Normal"/>
        <w:widowControl/>
        <w:numPr>
          <w:ilvl w:val="1"/>
          <w:numId w:val="4"/>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Com exceção das alterações, entrelinhas ou rasuras feitas pela Comissão de Licitação, necessárias para corrigir erros cometidos pelos Licitantes, não serão aceitas propostas contendo borrões, emendas ou rasuras.</w:t>
      </w:r>
    </w:p>
    <w:p>
      <w:pPr>
        <w:pStyle w:val="Normal"/>
        <w:widowControl/>
        <w:numPr>
          <w:ilvl w:val="1"/>
          <w:numId w:val="4"/>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As Propostas de Preços serão analisadas, conferidas, corrigidas e classificadas por ordem crescente de valores corrigidos.</w:t>
      </w:r>
    </w:p>
    <w:p>
      <w:pPr>
        <w:pStyle w:val="Corpodetexto"/>
        <w:widowControl/>
        <w:numPr>
          <w:ilvl w:val="1"/>
          <w:numId w:val="4"/>
        </w:numPr>
        <w:tabs>
          <w:tab w:val="left" w:pos="851" w:leader="none"/>
        </w:tabs>
        <w:suppressAutoHyphens w:val="false"/>
        <w:spacing w:lineRule="auto" w:line="276"/>
        <w:ind w:left="0" w:hanging="0"/>
        <w:jc w:val="both"/>
        <w:rPr>
          <w:rFonts w:ascii="Arial" w:hAnsi="Arial" w:cs="Arial"/>
          <w:sz w:val="22"/>
          <w:szCs w:val="22"/>
        </w:rPr>
      </w:pPr>
      <w:r>
        <w:rPr>
          <w:rFonts w:cs="Arial" w:ascii="Arial" w:hAnsi="Arial"/>
          <w:sz w:val="22"/>
          <w:szCs w:val="22"/>
        </w:rPr>
        <w:t xml:space="preserve">Atendida as condições do item acima, será considerado vencedor a proposta que resulte o </w:t>
      </w:r>
      <w:r>
        <w:rPr>
          <w:rFonts w:cs="Arial" w:ascii="Arial" w:hAnsi="Arial"/>
          <w:b/>
          <w:sz w:val="22"/>
          <w:szCs w:val="22"/>
        </w:rPr>
        <w:t>MENOR PREÇO GLOBAL</w:t>
      </w:r>
      <w:r>
        <w:rPr>
          <w:rFonts w:cs="Arial" w:ascii="Arial" w:hAnsi="Arial"/>
          <w:sz w:val="22"/>
          <w:szCs w:val="22"/>
        </w:rPr>
        <w:t xml:space="preserve"> para a obra, e caso ocorra empate entre duas ou mais propostas, a decisão será feita por sorteio.</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r>
    </w:p>
    <w:p>
      <w:pPr>
        <w:pStyle w:val="Ttulo1"/>
        <w:widowControl/>
        <w:numPr>
          <w:ilvl w:val="0"/>
          <w:numId w:val="4"/>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pPr>
      <w:r>
        <w:rPr>
          <w:rFonts w:cs="Arial"/>
          <w:bCs w:val="false"/>
          <w:sz w:val="22"/>
          <w:szCs w:val="22"/>
        </w:rPr>
        <w:t>PRAZO DE EXECUÇÃO DO OBJETO E PRAZO CONTRATUAL.</w:t>
      </w:r>
    </w:p>
    <w:p>
      <w:pPr>
        <w:pStyle w:val="Normal"/>
        <w:tabs>
          <w:tab w:val="left" w:pos="851" w:leader="none"/>
        </w:tabs>
        <w:spacing w:lineRule="auto" w:line="276" w:before="0" w:after="120"/>
        <w:jc w:val="both"/>
        <w:rPr>
          <w:rFonts w:ascii="Arial" w:hAnsi="Arial" w:cs="Arial"/>
          <w:b/>
          <w:b/>
          <w:sz w:val="22"/>
          <w:szCs w:val="22"/>
        </w:rPr>
      </w:pPr>
      <w:r>
        <w:rPr>
          <w:rFonts w:cs="Arial" w:ascii="Arial" w:hAnsi="Arial"/>
          <w:b/>
          <w:sz w:val="22"/>
          <w:szCs w:val="22"/>
        </w:rPr>
      </w:r>
    </w:p>
    <w:p>
      <w:pPr>
        <w:pStyle w:val="Normal"/>
        <w:widowControl/>
        <w:numPr>
          <w:ilvl w:val="1"/>
          <w:numId w:val="4"/>
        </w:numPr>
        <w:tabs>
          <w:tab w:val="left" w:pos="851" w:leader="none"/>
        </w:tabs>
        <w:suppressAutoHyphens w:val="false"/>
        <w:spacing w:lineRule="auto" w:line="276" w:before="0" w:after="120"/>
        <w:ind w:left="0" w:hanging="0"/>
        <w:jc w:val="both"/>
        <w:rPr/>
      </w:pPr>
      <w:r>
        <w:rPr>
          <w:rFonts w:cs="Arial" w:ascii="Arial" w:hAnsi="Arial"/>
          <w:sz w:val="22"/>
          <w:szCs w:val="22"/>
        </w:rPr>
        <w:t xml:space="preserve">O Prazo de Execução do objeto será de </w:t>
      </w:r>
      <w:r>
        <w:rPr>
          <w:rFonts w:cs="Arial" w:ascii="Arial" w:hAnsi="Arial"/>
          <w:b/>
          <w:bCs/>
          <w:sz w:val="22"/>
          <w:szCs w:val="22"/>
        </w:rPr>
        <w:t>3</w:t>
      </w:r>
      <w:r>
        <w:rPr>
          <w:rFonts w:cs="Arial" w:ascii="Arial" w:hAnsi="Arial"/>
          <w:b/>
          <w:bCs/>
          <w:sz w:val="22"/>
          <w:szCs w:val="22"/>
        </w:rPr>
        <w:t>0</w:t>
      </w:r>
      <w:r>
        <w:rPr>
          <w:rFonts w:cs="Arial" w:ascii="Arial" w:hAnsi="Arial"/>
          <w:b/>
          <w:sz w:val="22"/>
          <w:szCs w:val="22"/>
        </w:rPr>
        <w:t xml:space="preserve"> (</w:t>
      </w:r>
      <w:r>
        <w:rPr>
          <w:rFonts w:cs="Arial" w:ascii="Arial" w:hAnsi="Arial"/>
          <w:b/>
          <w:sz w:val="22"/>
          <w:szCs w:val="22"/>
        </w:rPr>
        <w:t>Trinta</w:t>
      </w:r>
      <w:r>
        <w:rPr>
          <w:rFonts w:cs="Arial" w:ascii="Arial" w:hAnsi="Arial"/>
          <w:b/>
          <w:sz w:val="22"/>
          <w:szCs w:val="22"/>
        </w:rPr>
        <w:t>) dias a contar do recebimento da Ordem de Serviço (O.S.)</w:t>
      </w:r>
      <w:r>
        <w:rPr>
          <w:rFonts w:cs="Arial" w:ascii="Arial" w:hAnsi="Arial"/>
          <w:sz w:val="22"/>
          <w:szCs w:val="22"/>
        </w:rPr>
        <w:t xml:space="preserve"> e de acordo com o cronograma físico-financeiro estabelecido. </w:t>
      </w:r>
    </w:p>
    <w:p>
      <w:pPr>
        <w:pStyle w:val="Normal"/>
        <w:widowControl/>
        <w:numPr>
          <w:ilvl w:val="1"/>
          <w:numId w:val="4"/>
        </w:numPr>
        <w:tabs>
          <w:tab w:val="left" w:pos="851" w:leader="none"/>
        </w:tabs>
        <w:suppressAutoHyphens w:val="false"/>
        <w:spacing w:lineRule="auto" w:line="276" w:before="0" w:after="120"/>
        <w:ind w:left="0" w:hanging="0"/>
        <w:jc w:val="both"/>
        <w:rPr/>
      </w:pPr>
      <w:r>
        <w:rPr>
          <w:rFonts w:cs="Arial" w:ascii="Arial" w:hAnsi="Arial"/>
          <w:sz w:val="22"/>
          <w:szCs w:val="22"/>
        </w:rPr>
        <w:t xml:space="preserve">O Prazo de Vigência Contratual será de </w:t>
      </w:r>
      <w:r>
        <w:rPr>
          <w:rFonts w:cs="Arial" w:ascii="Arial" w:hAnsi="Arial"/>
          <w:b/>
          <w:sz w:val="22"/>
          <w:szCs w:val="22"/>
        </w:rPr>
        <w:t>90</w:t>
      </w:r>
      <w:r>
        <w:rPr>
          <w:rFonts w:cs="Arial" w:ascii="Arial" w:hAnsi="Arial"/>
          <w:b/>
          <w:sz w:val="22"/>
          <w:szCs w:val="22"/>
        </w:rPr>
        <w:t xml:space="preserve"> (</w:t>
      </w:r>
      <w:r>
        <w:rPr>
          <w:rFonts w:cs="Arial" w:ascii="Arial" w:hAnsi="Arial"/>
          <w:b/>
          <w:sz w:val="22"/>
          <w:szCs w:val="22"/>
        </w:rPr>
        <w:t>Noventa</w:t>
      </w:r>
      <w:r>
        <w:rPr>
          <w:rFonts w:cs="Arial" w:ascii="Arial" w:hAnsi="Arial"/>
          <w:b/>
          <w:sz w:val="22"/>
          <w:szCs w:val="22"/>
        </w:rPr>
        <w:t>) dias a contar da data da assinatura contratual.</w:t>
      </w:r>
    </w:p>
    <w:p>
      <w:pPr>
        <w:pStyle w:val="Normal"/>
        <w:widowControl/>
        <w:numPr>
          <w:ilvl w:val="1"/>
          <w:numId w:val="4"/>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 xml:space="preserve">Em caso de atraso na execução da obra, sem comprovação de condições adversas ou casos fortuitos, a empresa ficará sujeita às sanções preceituadas da Lei 8.666/93, bem como a aplicação das penalidades previstas no contrato. </w:t>
      </w:r>
    </w:p>
    <w:p>
      <w:pPr>
        <w:pStyle w:val="Normal"/>
        <w:widowControl/>
        <w:numPr>
          <w:ilvl w:val="1"/>
          <w:numId w:val="4"/>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Os serviços de reforma serão executados concomitantemente aos serviços de ampliação da unidade conforme cronograma físico-financeiro anexo a este Termo de Referência.</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Ttulo1"/>
        <w:widowControl/>
        <w:numPr>
          <w:ilvl w:val="0"/>
          <w:numId w:val="4"/>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bookmarkStart w:id="5" w:name="__DdeLink__518_576160097"/>
      <w:bookmarkEnd w:id="5"/>
      <w:r>
        <w:rPr>
          <w:rFonts w:cs="Arial"/>
          <w:bCs w:val="false"/>
          <w:sz w:val="22"/>
          <w:szCs w:val="22"/>
        </w:rPr>
        <w:t xml:space="preserve">DAS MEDIÇÕES. </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Corpodetexto"/>
        <w:widowControl/>
        <w:numPr>
          <w:ilvl w:val="1"/>
          <w:numId w:val="4"/>
        </w:numPr>
        <w:tabs>
          <w:tab w:val="left" w:pos="851" w:leader="none"/>
        </w:tabs>
        <w:suppressAutoHyphens w:val="false"/>
        <w:spacing w:lineRule="auto" w:line="276"/>
        <w:ind w:left="0" w:hanging="0"/>
        <w:jc w:val="both"/>
        <w:rPr>
          <w:rFonts w:ascii="Arial" w:hAnsi="Arial" w:cs="Arial"/>
          <w:sz w:val="22"/>
          <w:szCs w:val="22"/>
        </w:rPr>
      </w:pPr>
      <w:r>
        <w:rPr>
          <w:rFonts w:cs="Arial" w:ascii="Arial" w:hAnsi="Arial"/>
          <w:sz w:val="22"/>
          <w:szCs w:val="22"/>
        </w:rPr>
        <w:t>As medições mensais serão baseadas nas avaliações dos serviços realizados e serão feitas pela Equipe de Fiscalização, devidamente acompanhado por um ou mais representante(s) designado(s) pela Contratada.</w:t>
      </w:r>
    </w:p>
    <w:p>
      <w:pPr>
        <w:pStyle w:val="Corpodetexto"/>
        <w:widowControl/>
        <w:numPr>
          <w:ilvl w:val="1"/>
          <w:numId w:val="4"/>
        </w:numPr>
        <w:tabs>
          <w:tab w:val="left" w:pos="851" w:leader="none"/>
        </w:tabs>
        <w:suppressAutoHyphens w:val="false"/>
        <w:spacing w:lineRule="auto" w:line="276"/>
        <w:ind w:left="0" w:hanging="0"/>
        <w:jc w:val="both"/>
        <w:rPr>
          <w:rFonts w:ascii="Arial" w:hAnsi="Arial" w:cs="Arial"/>
          <w:sz w:val="22"/>
          <w:szCs w:val="22"/>
        </w:rPr>
      </w:pPr>
      <w:r>
        <w:rPr>
          <w:rFonts w:cs="Arial" w:ascii="Arial" w:hAnsi="Arial"/>
          <w:sz w:val="22"/>
          <w:szCs w:val="22"/>
        </w:rPr>
        <w:t>O controle físico do andamento da obra será efetuado de acordo com os prazos de execução e marcos contratuais definidos no</w:t>
      </w:r>
      <w:r>
        <w:rPr>
          <w:rFonts w:cs="Arial" w:ascii="Arial" w:hAnsi="Arial"/>
          <w:b/>
          <w:sz w:val="22"/>
          <w:szCs w:val="22"/>
        </w:rPr>
        <w:t xml:space="preserve"> Cronograma Físico-Financeiro da Obra em anexo</w:t>
      </w:r>
      <w:r>
        <w:rPr>
          <w:rFonts w:cs="Arial" w:ascii="Arial" w:hAnsi="Arial"/>
          <w:sz w:val="22"/>
          <w:szCs w:val="22"/>
        </w:rPr>
        <w:t>, podendo ser adequado conforme a necessidade do Município de Itajaí verificada no decorrer das obras.</w:t>
      </w:r>
    </w:p>
    <w:p>
      <w:pPr>
        <w:pStyle w:val="Corpodetexto"/>
        <w:widowControl/>
        <w:numPr>
          <w:ilvl w:val="1"/>
          <w:numId w:val="4"/>
        </w:numPr>
        <w:tabs>
          <w:tab w:val="left" w:pos="851" w:leader="none"/>
        </w:tabs>
        <w:suppressAutoHyphens w:val="false"/>
        <w:spacing w:lineRule="auto" w:line="276"/>
        <w:ind w:left="0" w:hanging="0"/>
        <w:jc w:val="both"/>
        <w:rPr>
          <w:rFonts w:ascii="Arial" w:hAnsi="Arial" w:cs="Arial"/>
          <w:sz w:val="22"/>
          <w:szCs w:val="22"/>
        </w:rPr>
      </w:pPr>
      <w:r>
        <w:rPr>
          <w:rFonts w:cs="Arial" w:ascii="Arial" w:hAnsi="Arial"/>
          <w:sz w:val="22"/>
          <w:szCs w:val="22"/>
        </w:rPr>
        <w:t xml:space="preserve">Dada a Ordem se Serviço pela Contratante, é obrigatório à </w:t>
      </w:r>
      <w:r>
        <w:rPr>
          <w:rFonts w:cs="Arial" w:ascii="Arial" w:hAnsi="Arial"/>
          <w:b/>
          <w:sz w:val="22"/>
          <w:szCs w:val="22"/>
        </w:rPr>
        <w:t xml:space="preserve">abertura do “Diário de Obra” ou “Registro de Ocorrências” nos Termos da Instrução Normativa 005 – CMA/2006 – </w:t>
      </w:r>
      <w:r>
        <w:rPr>
          <w:rFonts w:cs="Arial" w:ascii="Arial" w:hAnsi="Arial"/>
          <w:sz w:val="22"/>
          <w:szCs w:val="22"/>
        </w:rPr>
        <w:t xml:space="preserve">(que disciplina sobre os procedimentos para o encaminhamento dos pedidos de licitações, execução, fiscalização, recebimento provisório/definitivo e pagamento de obras e serviços de engenharia, e dá outras providências). </w:t>
      </w:r>
    </w:p>
    <w:p>
      <w:pPr>
        <w:pStyle w:val="Corpodetexto"/>
        <w:widowControl/>
        <w:numPr>
          <w:ilvl w:val="1"/>
          <w:numId w:val="4"/>
        </w:numPr>
        <w:tabs>
          <w:tab w:val="left" w:pos="851" w:leader="none"/>
        </w:tabs>
        <w:suppressAutoHyphens w:val="false"/>
        <w:spacing w:lineRule="auto" w:line="276"/>
        <w:ind w:left="0" w:hanging="0"/>
        <w:jc w:val="both"/>
        <w:rPr>
          <w:rFonts w:ascii="Arial" w:hAnsi="Arial" w:cs="Arial"/>
          <w:sz w:val="22"/>
          <w:szCs w:val="22"/>
        </w:rPr>
      </w:pPr>
      <w:r>
        <w:rPr>
          <w:rFonts w:cs="Arial" w:ascii="Arial" w:hAnsi="Arial"/>
          <w:sz w:val="22"/>
          <w:szCs w:val="22"/>
        </w:rPr>
        <w:t xml:space="preserve">Os quantitativos de serviços efetivamente executados pela licitante vencedora serão medidos parcial e mensalmente pela </w:t>
      </w:r>
      <w:r>
        <w:rPr>
          <w:rFonts w:cs="Arial" w:ascii="Arial" w:hAnsi="Arial"/>
          <w:b/>
          <w:sz w:val="22"/>
          <w:szCs w:val="22"/>
        </w:rPr>
        <w:t>Secretaria Municipal de Educação</w:t>
      </w:r>
      <w:r>
        <w:rPr>
          <w:rFonts w:cs="Arial" w:ascii="Arial" w:hAnsi="Arial"/>
          <w:sz w:val="22"/>
          <w:szCs w:val="22"/>
        </w:rPr>
        <w:t>, lançados no Boletim de Medição, que depois de conferidos, serão assinados pelos: Responsável Técnico da licitante vencedora, pelo(s) Fiscal(is) devidamente designado(s) pela Contratante.</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r>
    </w:p>
    <w:p>
      <w:pPr>
        <w:pStyle w:val="Ttulo1"/>
        <w:widowControl/>
        <w:numPr>
          <w:ilvl w:val="0"/>
          <w:numId w:val="4"/>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r>
        <w:rPr>
          <w:rFonts w:cs="Arial"/>
          <w:bCs w:val="false"/>
          <w:sz w:val="22"/>
          <w:szCs w:val="22"/>
        </w:rPr>
        <w:t>DOS CRITÉRIOS E FORMA DE PAGAMENTO.</w:t>
      </w:r>
    </w:p>
    <w:p>
      <w:pPr>
        <w:pStyle w:val="Normal"/>
        <w:tabs>
          <w:tab w:val="left" w:pos="851" w:leader="none"/>
        </w:tabs>
        <w:spacing w:lineRule="auto" w:line="276" w:before="0" w:after="120"/>
        <w:rPr>
          <w:rFonts w:ascii="Arial" w:hAnsi="Arial" w:cs="Arial"/>
          <w:sz w:val="22"/>
          <w:szCs w:val="22"/>
        </w:rPr>
      </w:pPr>
      <w:r>
        <w:rPr>
          <w:rFonts w:cs="Arial" w:ascii="Arial" w:hAnsi="Arial"/>
          <w:sz w:val="22"/>
          <w:szCs w:val="22"/>
        </w:rPr>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14.1.  Os pagamentos se darão por boletim de medição mensal, in loco do serviço executado e contra apresentação de nota fiscal de prestação de serviços, e os mesmos serão efetuados após o recebimento da Nota Fiscal/Fatura conforme percentuais estabelecidos no cronograma Físico-Financeiro, desde que as faturas estejam corretas e tenham sido atendidas rigorosamente as especificações da Ordem de serviço e boletim de medição, devidamente atestada pelo servidor do município responsável pela fiscalização e, comprovação do pagamento/regularidade com a Previdência Social e FGTS, sendo que o pagamento e recebimento definitivo serão condicionados à demonstração de regularidade da contratada perante os órgãos antes descritos e funcionários;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14.2.  Nos preços ofertados na proposta do CONTRATADO, já estão inclusos todos os custos e despesas decorrentes de transporte, seguros, tributos, taxas de qualquer natureza e outros quaisquer que, direta ou indiretamente, impliquem ou venham a implicar no fiel cumprimento deste instrumento.</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 xml:space="preserve">14.3.  Quando houver erro de qualquer natureza na emissão da Nota Fiscal/fatura, o documento será imediatamente devolvido para substituição e/ou emissão de Nota de Correção, ficando estabelecido que este intervalo de tempo não será considerado para efeito de qualquer reajuste ou atualização do valor contratual. Caso não se apresente discriminado os percentuais de mão de obra e material na planilha orçamentária da proponente, será utilizado o percentual de mão de obra para fins de </w:t>
      </w:r>
      <w:r>
        <w:rPr>
          <w:rFonts w:eastAsia="Calibri" w:cs="Arial" w:ascii="Arial" w:hAnsi="Arial"/>
          <w:b/>
          <w:sz w:val="22"/>
          <w:szCs w:val="22"/>
        </w:rPr>
        <w:t xml:space="preserve">alíquota de INSS </w:t>
      </w:r>
      <w:r>
        <w:rPr>
          <w:rFonts w:eastAsia="Calibri" w:cs="Arial" w:ascii="Arial" w:hAnsi="Arial"/>
          <w:sz w:val="22"/>
          <w:szCs w:val="22"/>
        </w:rPr>
        <w:t xml:space="preserve">conforme </w:t>
      </w:r>
      <w:r>
        <w:rPr>
          <w:rFonts w:eastAsia="Calibri" w:cs="Arial" w:ascii="Arial" w:hAnsi="Arial"/>
          <w:b/>
          <w:sz w:val="22"/>
          <w:szCs w:val="22"/>
        </w:rPr>
        <w:t>Lei Federal RBF 971 (Art. 450 e 451)</w:t>
      </w:r>
      <w:r>
        <w:rPr>
          <w:rFonts w:eastAsia="Calibri" w:cs="Arial" w:ascii="Arial" w:hAnsi="Arial"/>
          <w:sz w:val="22"/>
          <w:szCs w:val="22"/>
        </w:rPr>
        <w:t>.</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14.4.    Caso haja aplicação de multa, o valor será descontado de qualquer fatura ou crédito existente no Município de Itajaí em favor da Contratada. Caso a mesma seja superior ao crédito eventualmente existente, a diferença será cobrada administrativamente ou judicialmente, se necessário.</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 xml:space="preserve">14.5.  O primeiro pagamento somente será efetuado após a comprovação por parte da licitante vencedora de que o contrato teve </w:t>
      </w:r>
      <w:r>
        <w:rPr>
          <w:rFonts w:cs="Arial" w:ascii="Arial" w:hAnsi="Arial"/>
          <w:b/>
          <w:sz w:val="22"/>
          <w:szCs w:val="22"/>
        </w:rPr>
        <w:t>Anotação de Responsabilidade Técnica</w:t>
      </w:r>
      <w:r>
        <w:rPr>
          <w:rFonts w:cs="Arial" w:ascii="Arial" w:hAnsi="Arial"/>
          <w:sz w:val="22"/>
          <w:szCs w:val="22"/>
        </w:rPr>
        <w:t xml:space="preserve"> </w:t>
      </w:r>
      <w:r>
        <w:rPr>
          <w:rFonts w:cs="Arial" w:ascii="Arial" w:hAnsi="Arial"/>
          <w:b/>
          <w:sz w:val="22"/>
          <w:szCs w:val="22"/>
        </w:rPr>
        <w:t>– ART</w:t>
      </w:r>
      <w:r>
        <w:rPr>
          <w:rFonts w:cs="Arial" w:ascii="Arial" w:hAnsi="Arial"/>
          <w:sz w:val="22"/>
          <w:szCs w:val="22"/>
        </w:rPr>
        <w:t xml:space="preserve"> ou </w:t>
      </w:r>
      <w:r>
        <w:rPr>
          <w:rFonts w:cs="Arial" w:ascii="Arial" w:hAnsi="Arial"/>
          <w:b/>
          <w:sz w:val="22"/>
          <w:szCs w:val="22"/>
        </w:rPr>
        <w:t>Registro de Responsabilidade Técnica</w:t>
      </w:r>
      <w:r>
        <w:rPr>
          <w:rFonts w:cs="Arial" w:ascii="Arial" w:hAnsi="Arial"/>
          <w:sz w:val="22"/>
          <w:szCs w:val="22"/>
        </w:rPr>
        <w:t xml:space="preserve"> </w:t>
      </w:r>
      <w:r>
        <w:rPr>
          <w:rFonts w:cs="Arial" w:ascii="Arial" w:hAnsi="Arial"/>
          <w:b/>
          <w:sz w:val="22"/>
          <w:szCs w:val="22"/>
        </w:rPr>
        <w:t>- RRT</w:t>
      </w:r>
      <w:r>
        <w:rPr>
          <w:rFonts w:cs="Arial" w:ascii="Arial" w:hAnsi="Arial"/>
          <w:sz w:val="22"/>
          <w:szCs w:val="22"/>
        </w:rPr>
        <w:t>, efetuada no CREA-SC ou CAU-SC.</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 xml:space="preserve">14.6. A licitante vencedora deverá apresentar a documentação de cobrança, obrigatoriamente no Município </w:t>
      </w:r>
      <w:r>
        <w:rPr>
          <w:rFonts w:cs="Arial" w:ascii="Arial" w:hAnsi="Arial"/>
          <w:bCs/>
          <w:sz w:val="22"/>
          <w:szCs w:val="22"/>
        </w:rPr>
        <w:t>de Itajaí</w:t>
      </w:r>
      <w:r>
        <w:rPr>
          <w:rFonts w:cs="Arial" w:ascii="Arial" w:hAnsi="Arial"/>
          <w:sz w:val="22"/>
          <w:szCs w:val="22"/>
        </w:rPr>
        <w:t>, com o valor expresso em moeda corrente nacional, mediante a emissão de nota fiscal, observadas as exigências da legislação tributária.</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 xml:space="preserve">14.7. </w:t>
      </w:r>
      <w:bookmarkStart w:id="6" w:name="_Ref128369793"/>
      <w:bookmarkEnd w:id="6"/>
      <w:r>
        <w:rPr>
          <w:rFonts w:cs="Arial" w:ascii="Arial" w:hAnsi="Arial"/>
          <w:sz w:val="22"/>
          <w:szCs w:val="22"/>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14.8. O pagamento de qualquer parcela somente será efetuado mediante a apresentação do Certificado de Regularidade do FGTS (CRF), emitido pela Caixa Econômica Federal (CEF), Certidão Negativa de Débito (CND), emitida pelo Instituto Nacional do Seguro Social (INSS), Guia de recolhimento INSS do funcionário (GRPS), Guia de recolhimento INSS da empresa, Folha de pagamento dos funcionários, Guia de recolhimento do FGTS do funcionário (GFIP), Guia de Retenção (GPS) e Guia de recolhimento do PIS/COFINS, com prazo de validade vigente.  A licitante vencedora deverá apresentar a folha de pagamento relativa ao mês de competência a que se referem as guias pagas no mês anterior.</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 xml:space="preserve"> </w:t>
      </w:r>
      <w:r>
        <w:rPr>
          <w:rFonts w:cs="Arial" w:ascii="Arial" w:hAnsi="Arial"/>
          <w:sz w:val="22"/>
          <w:szCs w:val="22"/>
        </w:rPr>
        <w:t xml:space="preserve">14.9.  Caso não haja a comprovação do recolhimento das obrigações sociais o                            pagamento será suspenso até comprovada sua regularização. </w:t>
      </w:r>
    </w:p>
    <w:p>
      <w:pPr>
        <w:pStyle w:val="Corpodetexto"/>
        <w:tabs>
          <w:tab w:val="left" w:pos="851" w:leader="none"/>
        </w:tabs>
        <w:spacing w:lineRule="auto" w:line="276"/>
        <w:rPr>
          <w:rFonts w:ascii="Arial" w:hAnsi="Arial" w:cs="Arial"/>
          <w:sz w:val="22"/>
          <w:szCs w:val="22"/>
        </w:rPr>
      </w:pPr>
      <w:r>
        <w:rPr>
          <w:rFonts w:cs="Arial" w:ascii="Arial" w:hAnsi="Arial"/>
          <w:sz w:val="22"/>
          <w:szCs w:val="22"/>
        </w:rPr>
        <w:t xml:space="preserve"> </w:t>
      </w:r>
      <w:r>
        <w:rPr>
          <w:rFonts w:cs="Arial" w:ascii="Arial" w:hAnsi="Arial"/>
          <w:sz w:val="22"/>
          <w:szCs w:val="22"/>
        </w:rPr>
        <w:t>14.10. A última parcela somente será liberada, depois de cumpridas todas as condições exigidas no instrumento contratual a ser firmado com a licitante vencedora.</w:t>
      </w:r>
    </w:p>
    <w:p>
      <w:pPr>
        <w:pStyle w:val="Corpodetexto"/>
        <w:tabs>
          <w:tab w:val="left" w:pos="851" w:leader="none"/>
        </w:tabs>
        <w:spacing w:lineRule="auto" w:line="276"/>
        <w:rPr>
          <w:rStyle w:val="Annotationreference"/>
          <w:rFonts w:ascii="Arial" w:hAnsi="Arial" w:cs="Arial"/>
          <w:bCs/>
          <w:vanish/>
          <w:sz w:val="22"/>
          <w:szCs w:val="22"/>
        </w:rPr>
      </w:pPr>
      <w:r>
        <w:rPr>
          <w:rFonts w:cs="Arial" w:ascii="Arial" w:hAnsi="Arial"/>
          <w:bCs/>
          <w:vanish/>
          <w:sz w:val="22"/>
          <w:szCs w:val="22"/>
        </w:rPr>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Ttulo1"/>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pacing w:lineRule="auto" w:line="276" w:before="0" w:after="0"/>
        <w:jc w:val="both"/>
        <w:rPr>
          <w:rFonts w:cs="Arial"/>
          <w:bCs w:val="false"/>
          <w:sz w:val="22"/>
          <w:szCs w:val="22"/>
        </w:rPr>
      </w:pPr>
      <w:bookmarkStart w:id="7" w:name="_Toc176842519"/>
      <w:bookmarkStart w:id="8" w:name="_Toc176842561"/>
      <w:bookmarkStart w:id="9" w:name="_Toc176842631"/>
      <w:bookmarkStart w:id="10" w:name="_Toc176847504"/>
      <w:r>
        <w:rPr>
          <w:rFonts w:cs="Arial"/>
          <w:bCs w:val="false"/>
          <w:sz w:val="22"/>
          <w:szCs w:val="22"/>
        </w:rPr>
        <w:t>15.  DAS CONDIÇÕES DE SEGURANÇA DO TRABALHO</w:t>
      </w:r>
      <w:bookmarkEnd w:id="7"/>
      <w:bookmarkEnd w:id="8"/>
      <w:bookmarkEnd w:id="9"/>
      <w:bookmarkEnd w:id="10"/>
      <w:r>
        <w:rPr>
          <w:rFonts w:cs="Arial"/>
          <w:bCs w:val="false"/>
          <w:sz w:val="22"/>
          <w:szCs w:val="22"/>
        </w:rPr>
        <w:t>.</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 xml:space="preserve">15.1.  Deverão ser observadas pela licitante vencedora, todas as condições de segurança e higiene, medicina e meio ambiente do trabalho, necessária a preservação da integridade física e saúde de seus colaboradores, do patrimônio do Município </w:t>
      </w:r>
      <w:r>
        <w:rPr>
          <w:rFonts w:cs="Arial" w:ascii="Arial" w:hAnsi="Arial"/>
          <w:bCs/>
          <w:sz w:val="22"/>
          <w:szCs w:val="22"/>
        </w:rPr>
        <w:t>de Itajaí</w:t>
      </w:r>
      <w:r>
        <w:rPr>
          <w:rFonts w:cs="Arial" w:ascii="Arial" w:hAnsi="Arial"/>
          <w:sz w:val="22"/>
          <w:szCs w:val="22"/>
        </w:rPr>
        <w:t xml:space="preserve"> e ao público afeto e dos materiais envolvidos na obra e/ou serviço, de acordo com as normas regulamentadas pelo Ministério do Trabalho, bem como outros dispositivos legais e normas específicas do Município</w:t>
      </w:r>
      <w:r>
        <w:rPr>
          <w:rFonts w:cs="Arial" w:ascii="Arial" w:hAnsi="Arial"/>
          <w:bCs/>
          <w:sz w:val="22"/>
          <w:szCs w:val="22"/>
        </w:rPr>
        <w:t xml:space="preserve"> de Itajaí</w:t>
      </w:r>
      <w:r>
        <w:rPr>
          <w:rFonts w:cs="Arial" w:ascii="Arial" w:hAnsi="Arial"/>
          <w:sz w:val="22"/>
          <w:szCs w:val="22"/>
        </w:rPr>
        <w:t>.</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15.2.  O Município</w:t>
      </w:r>
      <w:r>
        <w:rPr>
          <w:rFonts w:cs="Arial" w:ascii="Arial" w:hAnsi="Arial"/>
          <w:bCs/>
          <w:sz w:val="22"/>
          <w:szCs w:val="22"/>
        </w:rPr>
        <w:t xml:space="preserve"> de Itajaí</w:t>
      </w:r>
      <w:r>
        <w:rPr>
          <w:rFonts w:cs="Arial" w:ascii="Arial" w:hAnsi="Arial"/>
          <w:sz w:val="22"/>
          <w:szCs w:val="22"/>
        </w:rPr>
        <w:t xml:space="preserve">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15.3. A licitante vencedora se responsabilizará, ainda, por atrasos ou prejuízos decorrentes da suspensão dos trabalhos quando não acatar a legislação básica vigente na época, no que se referir à Engenharia de Segurança e Medicina do Trabalho.</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Ttulo1"/>
        <w:widowControl/>
        <w:numPr>
          <w:ilvl w:val="0"/>
          <w:numId w:val="2"/>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bookmarkStart w:id="11" w:name="_Toc176842520"/>
      <w:bookmarkStart w:id="12" w:name="_Toc176842562"/>
      <w:bookmarkStart w:id="13" w:name="_Toc176842632"/>
      <w:bookmarkStart w:id="14" w:name="_Toc176847505"/>
      <w:r>
        <w:rPr>
          <w:rFonts w:cs="Arial"/>
          <w:bCs w:val="false"/>
          <w:sz w:val="22"/>
          <w:szCs w:val="22"/>
        </w:rPr>
        <w:t>DA PARALISAÇÃO DOS SERVIÇOS</w:t>
      </w:r>
      <w:bookmarkEnd w:id="11"/>
      <w:bookmarkEnd w:id="12"/>
      <w:bookmarkEnd w:id="13"/>
      <w:bookmarkEnd w:id="14"/>
      <w:r>
        <w:rPr>
          <w:rFonts w:cs="Arial"/>
          <w:bCs w:val="false"/>
          <w:sz w:val="22"/>
          <w:szCs w:val="22"/>
        </w:rPr>
        <w:t>.</w:t>
      </w:r>
    </w:p>
    <w:p>
      <w:pPr>
        <w:pStyle w:val="Corpodetexto"/>
        <w:tabs>
          <w:tab w:val="left" w:pos="851" w:leader="none"/>
        </w:tabs>
        <w:spacing w:lineRule="auto" w:line="276"/>
        <w:rPr>
          <w:rFonts w:ascii="Arial" w:hAnsi="Arial" w:cs="Arial"/>
          <w:b/>
          <w:b/>
          <w:sz w:val="22"/>
          <w:szCs w:val="22"/>
        </w:rPr>
      </w:pPr>
      <w:r>
        <w:rPr>
          <w:rFonts w:cs="Arial" w:ascii="Arial" w:hAnsi="Arial"/>
          <w:b/>
          <w:sz w:val="22"/>
          <w:szCs w:val="22"/>
        </w:rPr>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16.1. O M</w:t>
      </w:r>
      <w:r>
        <w:rPr>
          <w:rFonts w:cs="Arial" w:ascii="Arial" w:hAnsi="Arial"/>
          <w:bCs/>
          <w:sz w:val="22"/>
          <w:szCs w:val="22"/>
        </w:rPr>
        <w:t>unicípio de Itajaí</w:t>
      </w:r>
      <w:r>
        <w:rPr>
          <w:rFonts w:cs="Arial" w:ascii="Arial" w:hAnsi="Arial"/>
          <w:sz w:val="22"/>
          <w:szCs w:val="22"/>
        </w:rPr>
        <w:t>, por conveniência administrativa ou técnica, se reserva o direito de paralisar, a qualquer tempo, a execução dos serviços, cientificando oficialmente à licitante vencedora tal decisão, nos prazos e termos permitidos em lei.</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r>
    </w:p>
    <w:p>
      <w:pPr>
        <w:pStyle w:val="Ttulo1"/>
        <w:widowControl/>
        <w:numPr>
          <w:ilvl w:val="0"/>
          <w:numId w:val="2"/>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bookmarkStart w:id="15" w:name="_Toc176842521"/>
      <w:bookmarkStart w:id="16" w:name="_Toc176842563"/>
      <w:bookmarkStart w:id="17" w:name="_Toc176842633"/>
      <w:bookmarkStart w:id="18" w:name="_Toc176847506"/>
      <w:r>
        <w:rPr>
          <w:rFonts w:cs="Arial"/>
          <w:bCs w:val="false"/>
          <w:sz w:val="22"/>
          <w:szCs w:val="22"/>
        </w:rPr>
        <w:t>DO RECEBIMENTO DA OBRA, SERVIÇOS E MATERIAIS</w:t>
      </w:r>
      <w:bookmarkEnd w:id="15"/>
      <w:bookmarkEnd w:id="16"/>
      <w:bookmarkEnd w:id="17"/>
      <w:bookmarkEnd w:id="18"/>
      <w:r>
        <w:rPr>
          <w:rFonts w:cs="Arial"/>
          <w:bCs w:val="false"/>
          <w:sz w:val="22"/>
          <w:szCs w:val="22"/>
        </w:rPr>
        <w:t>.</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 xml:space="preserve">17.1. Para o recebimento das obras e serviços e dos materiais fornecidos será designada uma comissão de recebimento, composta de no mínimo 03 (três) técnicos, que vistoriará as obras e serviços e emitirá </w:t>
      </w:r>
      <w:r>
        <w:rPr>
          <w:rFonts w:cs="Arial" w:ascii="Arial" w:hAnsi="Arial"/>
          <w:b/>
          <w:sz w:val="22"/>
          <w:szCs w:val="22"/>
        </w:rPr>
        <w:t>TERMO DE RECEBIMENTO DEFINITIVO</w:t>
      </w:r>
      <w:r>
        <w:rPr>
          <w:rFonts w:cs="Arial" w:ascii="Arial" w:hAnsi="Arial"/>
          <w:sz w:val="22"/>
          <w:szCs w:val="22"/>
        </w:rPr>
        <w:t xml:space="preserve">, no prazo não superior a 90 (noventa) dias após o decurso do prazo de vistoria que comprove a adequação do objeto aos termos contratuais, observado o disposto no art. 69 da lei 8.666/93, ou </w:t>
      </w:r>
      <w:r>
        <w:rPr>
          <w:rFonts w:cs="Arial" w:ascii="Arial" w:hAnsi="Arial"/>
          <w:b/>
          <w:sz w:val="22"/>
          <w:szCs w:val="22"/>
        </w:rPr>
        <w:t>PROVISÓRIO</w:t>
      </w:r>
      <w:r>
        <w:rPr>
          <w:rFonts w:cs="Arial" w:ascii="Arial" w:hAnsi="Arial"/>
          <w:sz w:val="22"/>
          <w:szCs w:val="22"/>
        </w:rPr>
        <w:t>, em até 15 (quinze) dias da comunicação escrita da CONTRATADA, a seu critério.</w:t>
      </w:r>
    </w:p>
    <w:p>
      <w:pPr>
        <w:pStyle w:val="Corpodetexto"/>
        <w:tabs>
          <w:tab w:val="left" w:pos="851" w:leader="none"/>
        </w:tabs>
        <w:spacing w:lineRule="auto" w:line="276"/>
        <w:jc w:val="both"/>
        <w:rPr/>
      </w:pPr>
      <w:r>
        <w:rPr>
          <w:rFonts w:cs="Arial" w:ascii="Arial" w:hAnsi="Arial"/>
          <w:sz w:val="22"/>
          <w:szCs w:val="22"/>
        </w:rPr>
        <w:t>17.2. O termo de recebimento definitivo das obras e serviços, não isenta a licitante vencedora das cominações previstas na legislação civil em vigor, dentro dos limites estabelecidos pela lei ou pelo contrato.</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r>
    </w:p>
    <w:p>
      <w:pPr>
        <w:pStyle w:val="Ttulo1"/>
        <w:widowControl/>
        <w:numPr>
          <w:ilvl w:val="0"/>
          <w:numId w:val="2"/>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pPr>
      <w:r>
        <w:rPr>
          <w:rFonts w:cs="Arial"/>
          <w:bCs w:val="false"/>
          <w:sz w:val="22"/>
          <w:szCs w:val="22"/>
        </w:rPr>
        <w:t>DA RESCISÃO DO CONTRATO.</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Corpodetexto"/>
        <w:tabs>
          <w:tab w:val="left" w:pos="851" w:leader="none"/>
        </w:tabs>
        <w:spacing w:lineRule="auto" w:line="276"/>
        <w:jc w:val="both"/>
        <w:rPr/>
      </w:pPr>
      <w:r>
        <w:rPr>
          <w:rFonts w:cs="Arial" w:ascii="Arial" w:hAnsi="Arial"/>
          <w:sz w:val="22"/>
          <w:szCs w:val="22"/>
        </w:rPr>
        <w:t>18.1. O contrato a ser firmado com a licitante vencedora poderá ser rescindido de pleno direito pelos motivos previstos nos artigos 77, 78, 79 e 80, da lei nº 8.666/63 e suas alterações.</w:t>
      </w:r>
      <w:r>
        <w:rPr>
          <w:rFonts w:cs="Arial" w:ascii="Arial" w:hAnsi="Arial"/>
          <w:sz w:val="22"/>
          <w:szCs w:val="22"/>
          <w:lang w:eastAsia="ar-SA"/>
        </w:rPr>
        <w:t xml:space="preserve"> </w:t>
      </w:r>
      <w:r>
        <w:rPr>
          <w:rFonts w:cs="Arial" w:ascii="Arial" w:hAnsi="Arial"/>
          <w:sz w:val="22"/>
          <w:szCs w:val="22"/>
        </w:rPr>
        <w:t>A falta de pagamento das obrigações patronais por parte da licitante vencedora sujeitará à rescisão sumária do contrato.</w:t>
      </w:r>
    </w:p>
    <w:p>
      <w:pPr>
        <w:pStyle w:val="Corpodetexto"/>
        <w:tabs>
          <w:tab w:val="left" w:pos="851" w:leader="none"/>
        </w:tabs>
        <w:spacing w:lineRule="auto" w:line="276"/>
        <w:jc w:val="both"/>
        <w:rPr/>
      </w:pPr>
      <w:r>
        <w:rPr>
          <w:rFonts w:cs="Arial" w:ascii="Arial" w:hAnsi="Arial"/>
          <w:sz w:val="22"/>
          <w:szCs w:val="22"/>
        </w:rPr>
        <w:t>18.2. Sob nenhum aspecto será admitido, por parte da licitante vencedora, exceção de contrato não cumprido, em face da Administração, exceto nos casos admitidos pela Lei nº 8.666/93.</w:t>
      </w:r>
    </w:p>
    <w:p>
      <w:pPr>
        <w:pStyle w:val="Corpodetexto"/>
        <w:tabs>
          <w:tab w:val="left" w:pos="851" w:leader="none"/>
        </w:tabs>
        <w:spacing w:lineRule="auto" w:line="276"/>
        <w:rPr>
          <w:rFonts w:ascii="Arial" w:hAnsi="Arial" w:cs="Arial"/>
          <w:b/>
          <w:b/>
          <w:sz w:val="22"/>
          <w:szCs w:val="22"/>
        </w:rPr>
      </w:pPr>
      <w:r>
        <w:rPr>
          <w:rFonts w:cs="Arial" w:ascii="Arial" w:hAnsi="Arial"/>
          <w:b/>
          <w:sz w:val="22"/>
          <w:szCs w:val="22"/>
        </w:rPr>
      </w:r>
    </w:p>
    <w:p>
      <w:pPr>
        <w:pStyle w:val="Ttulo1"/>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pacing w:lineRule="auto" w:line="276" w:before="0" w:after="0"/>
        <w:jc w:val="both"/>
        <w:rPr>
          <w:rFonts w:cs="Arial"/>
          <w:bCs w:val="false"/>
          <w:sz w:val="22"/>
          <w:szCs w:val="22"/>
        </w:rPr>
      </w:pPr>
      <w:r>
        <w:rPr>
          <w:rFonts w:cs="Arial"/>
          <w:bCs w:val="false"/>
          <w:sz w:val="22"/>
          <w:szCs w:val="22"/>
        </w:rPr>
        <w:t>19.  CONSIDERAÇÕES GERAIS A CONTRATADA.</w:t>
      </w:r>
    </w:p>
    <w:p>
      <w:pPr>
        <w:pStyle w:val="Corpodetexto"/>
        <w:tabs>
          <w:tab w:val="left" w:pos="851" w:leader="none"/>
        </w:tabs>
        <w:spacing w:lineRule="auto" w:line="276"/>
        <w:rPr>
          <w:rFonts w:ascii="Arial" w:hAnsi="Arial" w:cs="Arial"/>
          <w:b/>
          <w:b/>
          <w:sz w:val="22"/>
          <w:szCs w:val="22"/>
        </w:rPr>
      </w:pPr>
      <w:r>
        <w:rPr>
          <w:rFonts w:cs="Arial" w:ascii="Arial" w:hAnsi="Arial"/>
          <w:b/>
          <w:sz w:val="22"/>
          <w:szCs w:val="22"/>
        </w:rPr>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19.1. Assumir inteira responsabilidade civil, administrativa e penal por quaisquer danos e prejuízos materiais ou pessoais causados pela contratada, seus empregados ou prepostos, à contratante ou a terceiros.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19.2. Aceitar, nas mesmas condições contratuais, e estimativas dos preços, os acréscimos ou supressões que se fizerem necessárias nos serviços até 50% (cinquenta por cento) do valor estimado inicialmente.</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19.3. Manter durante toda a execução do contrato, a compatibilidade com as obrigações assumidas, bem como as condições de habilitação e qualificação exigida para a contratação.</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19.4. Cumprir o cronograma de execução dos serviços, justificando sempre eventuais atrasos e reajustando caso seja necessário e/ou solicitado pela contratante.</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19.5. Obedecer às exigências contidas no projeto de engenharia, planilha orçamentária, memorial descritivo e demais anexos.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19.6. Acompanhar a execução dos serviços de acordo com o proposto no projeto de engenharia, planilha orçamentária, memoriais descritivos e demais anexos.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19.7. Fornecimento de mão de obra especializada, qualificada e capacitada.</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19.8. Fornecer materiais de primeira qualidade.</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19.9. Responsabilidade pela segurança dos empregados durante o período da obra.</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 xml:space="preserve">19.10. Solicitar o pedido das instalações provisórias de água e energia elétrica para </w:t>
      </w:r>
      <w:r>
        <w:rPr>
          <w:rFonts w:eastAsia="Calibri" w:cs="Arial" w:ascii="Arial" w:hAnsi="Arial"/>
          <w:b/>
          <w:sz w:val="22"/>
          <w:szCs w:val="22"/>
        </w:rPr>
        <w:t>SEMASA</w:t>
      </w:r>
      <w:r>
        <w:rPr>
          <w:rFonts w:eastAsia="Calibri" w:cs="Arial" w:ascii="Arial" w:hAnsi="Arial"/>
          <w:sz w:val="22"/>
          <w:szCs w:val="22"/>
        </w:rPr>
        <w:t xml:space="preserve"> e </w:t>
      </w:r>
      <w:r>
        <w:rPr>
          <w:rFonts w:eastAsia="Calibri" w:cs="Arial" w:ascii="Arial" w:hAnsi="Arial"/>
          <w:b/>
          <w:sz w:val="22"/>
          <w:szCs w:val="22"/>
        </w:rPr>
        <w:t>CELESC</w:t>
      </w:r>
      <w:r>
        <w:rPr>
          <w:rFonts w:eastAsia="Calibri" w:cs="Arial" w:ascii="Arial" w:hAnsi="Arial"/>
          <w:sz w:val="22"/>
          <w:szCs w:val="22"/>
        </w:rPr>
        <w:t xml:space="preserve"> respectivamente em nome da </w:t>
      </w:r>
      <w:r>
        <w:rPr>
          <w:rFonts w:eastAsia="Calibri" w:cs="Arial" w:ascii="Arial" w:hAnsi="Arial"/>
          <w:b/>
          <w:sz w:val="22"/>
          <w:szCs w:val="22"/>
        </w:rPr>
        <w:t>EMPRESA</w:t>
      </w:r>
      <w:r>
        <w:rPr>
          <w:rFonts w:eastAsia="Calibri" w:cs="Arial" w:ascii="Arial" w:hAnsi="Arial"/>
          <w:sz w:val="22"/>
          <w:szCs w:val="22"/>
        </w:rPr>
        <w:t xml:space="preserve"> </w:t>
      </w:r>
      <w:r>
        <w:rPr>
          <w:rFonts w:eastAsia="Calibri" w:cs="Arial" w:ascii="Arial" w:hAnsi="Arial"/>
          <w:b/>
          <w:sz w:val="22"/>
          <w:szCs w:val="22"/>
        </w:rPr>
        <w:t xml:space="preserve">CONTRATADA </w:t>
      </w:r>
      <w:r>
        <w:rPr>
          <w:rFonts w:eastAsia="Calibri" w:cs="Arial" w:ascii="Arial" w:hAnsi="Arial"/>
          <w:sz w:val="22"/>
          <w:szCs w:val="22"/>
        </w:rPr>
        <w:t>caso necessário.</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19.11. Todas as despesas necessárias à execução do objeto desta licitação, tais como: Pessoal; Obrigações Trabalhistas; Pagamentos das faturas de</w:t>
      </w:r>
      <w:r>
        <w:rPr>
          <w:rFonts w:eastAsia="Calibri" w:cs="Arial" w:ascii="Arial" w:hAnsi="Arial"/>
          <w:b/>
          <w:sz w:val="22"/>
          <w:szCs w:val="22"/>
        </w:rPr>
        <w:t xml:space="preserve"> ENERGIA ELÉTRICA </w:t>
      </w:r>
      <w:r>
        <w:rPr>
          <w:rFonts w:eastAsia="Calibri" w:cs="Arial" w:ascii="Arial" w:hAnsi="Arial"/>
          <w:sz w:val="22"/>
          <w:szCs w:val="22"/>
        </w:rPr>
        <w:t>e</w:t>
      </w:r>
      <w:r>
        <w:rPr>
          <w:rFonts w:eastAsia="Calibri" w:cs="Arial" w:ascii="Arial" w:hAnsi="Arial"/>
          <w:b/>
          <w:sz w:val="22"/>
          <w:szCs w:val="22"/>
        </w:rPr>
        <w:t xml:space="preserve"> ÁGUA </w:t>
      </w:r>
      <w:r>
        <w:rPr>
          <w:rFonts w:eastAsia="Calibri" w:cs="Arial" w:ascii="Arial" w:hAnsi="Arial"/>
          <w:sz w:val="22"/>
          <w:szCs w:val="22"/>
        </w:rPr>
        <w:t>as quais se fará em nome da empresa contratada até o recebimento da obra; Obrigações Previdenciárias, Fiscais, Securitárias e etc., correrão, exclusivamente, às custas do proponente vencedor.</w:t>
      </w:r>
    </w:p>
    <w:p>
      <w:pPr>
        <w:pStyle w:val="Normal"/>
        <w:tabs>
          <w:tab w:val="left" w:pos="851" w:leader="none"/>
        </w:tabs>
        <w:spacing w:lineRule="auto" w:line="276" w:before="0" w:after="120"/>
        <w:jc w:val="both"/>
        <w:rPr/>
      </w:pPr>
      <w:r>
        <w:rPr>
          <w:rFonts w:eastAsia="Calibri" w:cs="Arial" w:ascii="Arial" w:hAnsi="Arial"/>
          <w:sz w:val="22"/>
          <w:szCs w:val="22"/>
        </w:rPr>
        <w:t xml:space="preserve">19.12. Indicar o profissional </w:t>
      </w:r>
      <w:r>
        <w:rPr>
          <w:rFonts w:eastAsia="Calibri" w:cs="Arial" w:ascii="Arial" w:hAnsi="Arial"/>
          <w:b/>
          <w:sz w:val="22"/>
          <w:szCs w:val="22"/>
        </w:rPr>
        <w:t>“PREPOSTO”</w:t>
      </w:r>
      <w:r>
        <w:rPr>
          <w:rFonts w:eastAsia="Calibri" w:cs="Arial" w:ascii="Arial" w:hAnsi="Arial"/>
          <w:sz w:val="22"/>
          <w:szCs w:val="22"/>
        </w:rPr>
        <w:t xml:space="preserve"> para dirigir a execução dos trabalhos.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r>
    </w:p>
    <w:p>
      <w:pPr>
        <w:pStyle w:val="Normal"/>
        <w:tabs>
          <w:tab w:val="left" w:pos="851" w:leader="none"/>
        </w:tabs>
        <w:spacing w:lineRule="auto" w:line="276" w:before="0" w:after="120"/>
        <w:jc w:val="both"/>
        <w:rPr/>
      </w:pPr>
      <w:r>
        <w:rPr>
          <w:rFonts w:eastAsia="Calibri" w:cs="Arial" w:ascii="Arial" w:hAnsi="Arial"/>
          <w:sz w:val="22"/>
          <w:szCs w:val="22"/>
        </w:rPr>
        <w:t xml:space="preserve">19.13. Manter </w:t>
      </w:r>
      <w:r>
        <w:rPr>
          <w:rFonts w:eastAsia="Calibri" w:cs="Arial" w:ascii="Arial" w:hAnsi="Arial"/>
          <w:b/>
          <w:sz w:val="22"/>
          <w:szCs w:val="22"/>
        </w:rPr>
        <w:t>DIÁRIO DE OBRAS</w:t>
      </w:r>
      <w:r>
        <w:rPr>
          <w:rFonts w:eastAsia="Calibri" w:cs="Arial" w:ascii="Arial" w:hAnsi="Arial"/>
          <w:sz w:val="22"/>
          <w:szCs w:val="22"/>
        </w:rPr>
        <w:t xml:space="preserve"> devidamente atualizado durante a execução da obra e </w:t>
      </w:r>
      <w:r>
        <w:rPr>
          <w:rFonts w:eastAsia="Calibri" w:cs="Arial" w:ascii="Arial" w:hAnsi="Arial"/>
          <w:b/>
          <w:sz w:val="22"/>
          <w:szCs w:val="22"/>
        </w:rPr>
        <w:t>PRESENTE NO CANTEIRO DE OBRAS E DE FÁCIL ACESSO PARA COM A FISCALIZAÇÃO</w:t>
      </w:r>
      <w:r>
        <w:rPr>
          <w:rFonts w:eastAsia="Calibri" w:cs="Arial" w:ascii="Arial" w:hAnsi="Arial"/>
          <w:sz w:val="22"/>
          <w:szCs w:val="22"/>
        </w:rPr>
        <w:t>.</w:t>
      </w:r>
    </w:p>
    <w:p>
      <w:pPr>
        <w:pStyle w:val="Normal"/>
        <w:tabs>
          <w:tab w:val="left" w:pos="851" w:leader="none"/>
        </w:tabs>
        <w:spacing w:lineRule="auto" w:line="276" w:before="0" w:after="120"/>
        <w:jc w:val="both"/>
        <w:rPr/>
      </w:pPr>
      <w:r>
        <w:rPr>
          <w:rFonts w:eastAsia="Calibri" w:cs="Arial" w:ascii="Arial" w:hAnsi="Arial"/>
          <w:sz w:val="22"/>
          <w:szCs w:val="22"/>
        </w:rPr>
        <w:t xml:space="preserve">19.14. </w:t>
      </w:r>
      <w:r>
        <w:rPr>
          <w:rFonts w:eastAsia="Calibri" w:cs="Arial" w:ascii="Arial" w:hAnsi="Arial"/>
          <w:b/>
          <w:sz w:val="22"/>
          <w:szCs w:val="22"/>
        </w:rPr>
        <w:t>MANTER</w:t>
      </w:r>
      <w:r>
        <w:rPr>
          <w:rFonts w:eastAsia="Calibri" w:cs="Arial" w:ascii="Arial" w:hAnsi="Arial"/>
          <w:sz w:val="22"/>
          <w:szCs w:val="22"/>
        </w:rPr>
        <w:t xml:space="preserve"> todos os projetos, cadernos de encargos, memoriais descritivos, ARTs, alvarás e qualquer licença e/ou autorização referente à obra, </w:t>
      </w:r>
      <w:r>
        <w:rPr>
          <w:rFonts w:eastAsia="Calibri" w:cs="Arial" w:ascii="Arial" w:hAnsi="Arial"/>
          <w:b/>
          <w:sz w:val="22"/>
          <w:szCs w:val="22"/>
        </w:rPr>
        <w:t>PRESENTE NO CANTEIRO E QUE SEJA DE FÁCIL ACESSO PARA COM A FISCALIZAÇÃO</w:t>
      </w:r>
      <w:r>
        <w:rPr>
          <w:rFonts w:eastAsia="Calibri" w:cs="Arial" w:ascii="Arial" w:hAnsi="Arial"/>
          <w:sz w:val="22"/>
          <w:szCs w:val="22"/>
        </w:rPr>
        <w:t xml:space="preserve"> </w:t>
      </w:r>
      <w:r>
        <w:rPr>
          <w:rFonts w:eastAsia="Calibri" w:cs="Arial" w:ascii="Arial" w:hAnsi="Arial"/>
          <w:b/>
          <w:sz w:val="22"/>
          <w:szCs w:val="22"/>
        </w:rPr>
        <w:t>DE OBRAS E CONTRATOS.</w:t>
      </w:r>
    </w:p>
    <w:p>
      <w:pPr>
        <w:pStyle w:val="Corpodetexto"/>
        <w:tabs>
          <w:tab w:val="left" w:pos="851" w:leader="none"/>
        </w:tabs>
        <w:spacing w:lineRule="auto" w:line="276"/>
        <w:jc w:val="both"/>
        <w:rPr/>
      </w:pPr>
      <w:r>
        <w:rPr>
          <w:rFonts w:eastAsia="Calibri" w:cs="Arial" w:ascii="Arial" w:hAnsi="Arial"/>
          <w:sz w:val="22"/>
          <w:szCs w:val="22"/>
        </w:rPr>
        <w:t>19.15. Entregar a obra e seu entorno totalmente limpa.</w:t>
      </w:r>
    </w:p>
    <w:p>
      <w:pPr>
        <w:pStyle w:val="Corpodetexto"/>
        <w:tabs>
          <w:tab w:val="left" w:pos="851" w:leader="none"/>
        </w:tabs>
        <w:spacing w:lineRule="auto" w:line="276"/>
        <w:jc w:val="both"/>
        <w:rPr>
          <w:rFonts w:ascii="Arial" w:hAnsi="Arial" w:cs="Arial"/>
          <w:b/>
          <w:b/>
          <w:sz w:val="22"/>
          <w:szCs w:val="22"/>
        </w:rPr>
      </w:pPr>
      <w:r>
        <w:rPr>
          <w:rFonts w:cs="Arial" w:ascii="Arial" w:hAnsi="Arial"/>
          <w:b/>
          <w:sz w:val="22"/>
          <w:szCs w:val="22"/>
        </w:rPr>
      </w:r>
    </w:p>
    <w:p>
      <w:pPr>
        <w:pStyle w:val="Corpodetexto"/>
        <w:tabs>
          <w:tab w:val="left" w:pos="851" w:leader="none"/>
        </w:tabs>
        <w:spacing w:lineRule="auto" w:line="276"/>
        <w:rPr/>
      </w:pPr>
      <w:r>
        <w:rPr>
          <w:rFonts w:cs="Arial" w:ascii="Arial" w:hAnsi="Arial"/>
          <w:sz w:val="22"/>
          <w:szCs w:val="22"/>
        </w:rPr>
        <w:t>Itajaí, 29 de setembro de 2017.</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Normal"/>
        <w:tabs>
          <w:tab w:val="left" w:pos="851" w:leader="none"/>
        </w:tabs>
        <w:spacing w:lineRule="auto" w:line="276" w:before="0" w:after="120"/>
        <w:rPr>
          <w:rFonts w:ascii="Arial" w:hAnsi="Arial" w:cs="Arial"/>
          <w:sz w:val="22"/>
          <w:szCs w:val="22"/>
        </w:rPr>
      </w:pPr>
      <w:r>
        <w:rPr>
          <w:rFonts w:cs="Arial" w:ascii="Arial" w:hAnsi="Arial"/>
          <w:sz w:val="22"/>
          <w:szCs w:val="22"/>
        </w:rPr>
      </w:r>
    </w:p>
    <w:tbl>
      <w:tblPr>
        <w:tblStyle w:val="Tabelacomgrade"/>
        <w:tblW w:w="9211" w:type="dxa"/>
        <w:jc w:val="left"/>
        <w:tblInd w:w="0" w:type="dxa"/>
        <w:tblCellMar>
          <w:top w:w="0" w:type="dxa"/>
          <w:left w:w="133" w:type="dxa"/>
          <w:bottom w:w="0" w:type="dxa"/>
          <w:right w:w="108" w:type="dxa"/>
        </w:tblCellMar>
        <w:tblLook w:val="04a0"/>
      </w:tblPr>
      <w:tblGrid>
        <w:gridCol w:w="4605"/>
        <w:gridCol w:w="4605"/>
      </w:tblGrid>
      <w:tr>
        <w:trPr/>
        <w:tc>
          <w:tcPr>
            <w:tcW w:w="4605" w:type="dxa"/>
            <w:tcBorders>
              <w:top w:val="nil"/>
              <w:left w:val="nil"/>
              <w:bottom w:val="nil"/>
              <w:right w:val="nil"/>
              <w:insideH w:val="nil"/>
              <w:insideV w:val="nil"/>
            </w:tcBorders>
            <w:shd w:fill="auto" w:val="clear"/>
          </w:tcPr>
          <w:p>
            <w:pPr>
              <w:pStyle w:val="Normal"/>
              <w:tabs>
                <w:tab w:val="left" w:pos="851" w:leader="none"/>
              </w:tabs>
              <w:spacing w:lineRule="auto" w:line="276" w:before="0" w:after="0"/>
              <w:jc w:val="center"/>
              <w:rPr/>
            </w:pPr>
            <w:r>
              <w:rPr>
                <w:rFonts w:eastAsia="Calibri" w:cs="Arial" w:ascii="Arial" w:hAnsi="Arial"/>
                <w:b/>
              </w:rPr>
              <w:t>Virginia Victória Crema Mongelos</w:t>
            </w:r>
          </w:p>
          <w:p>
            <w:pPr>
              <w:pStyle w:val="Normal"/>
              <w:tabs>
                <w:tab w:val="left" w:pos="851" w:leader="none"/>
              </w:tabs>
              <w:spacing w:lineRule="auto" w:line="276" w:before="0" w:after="0"/>
              <w:jc w:val="center"/>
              <w:rPr/>
            </w:pPr>
            <w:r>
              <w:rPr>
                <w:rFonts w:eastAsia="Calibri" w:cs="Arial" w:ascii="Arial" w:hAnsi="Arial"/>
              </w:rPr>
              <w:t>Gerente de Obras</w:t>
            </w:r>
          </w:p>
          <w:p>
            <w:pPr>
              <w:pStyle w:val="Normal"/>
              <w:tabs>
                <w:tab w:val="left" w:pos="851" w:leader="none"/>
              </w:tabs>
              <w:spacing w:lineRule="auto" w:line="276" w:before="0" w:after="0"/>
              <w:jc w:val="center"/>
              <w:rPr>
                <w:rFonts w:ascii="Arial" w:hAnsi="Arial" w:cs="Arial"/>
              </w:rPr>
            </w:pPr>
            <w:r>
              <w:rPr>
                <w:rFonts w:cs="Arial" w:ascii="Arial" w:hAnsi="Arial"/>
              </w:rPr>
            </w:r>
          </w:p>
        </w:tc>
        <w:tc>
          <w:tcPr>
            <w:tcW w:w="4605" w:type="dxa"/>
            <w:tcBorders>
              <w:top w:val="nil"/>
              <w:left w:val="nil"/>
              <w:bottom w:val="nil"/>
              <w:right w:val="nil"/>
              <w:insideH w:val="nil"/>
              <w:insideV w:val="nil"/>
            </w:tcBorders>
            <w:shd w:fill="auto" w:val="clear"/>
          </w:tcPr>
          <w:p>
            <w:pPr>
              <w:pStyle w:val="Normal"/>
              <w:tabs>
                <w:tab w:val="left" w:pos="851" w:leader="none"/>
              </w:tabs>
              <w:spacing w:lineRule="auto" w:line="276" w:before="0" w:after="0"/>
              <w:jc w:val="center"/>
              <w:rPr>
                <w:rFonts w:ascii="Arial" w:hAnsi="Arial" w:cs="Arial"/>
                <w:b/>
                <w:b/>
              </w:rPr>
            </w:pPr>
            <w:r>
              <w:rPr>
                <w:rFonts w:cs="Arial" w:ascii="Arial" w:hAnsi="Arial"/>
                <w:b/>
              </w:rPr>
              <w:t>Anderson Rodrigues</w:t>
            </w:r>
          </w:p>
          <w:p>
            <w:pPr>
              <w:pStyle w:val="Normal"/>
              <w:tabs>
                <w:tab w:val="left" w:pos="851" w:leader="none"/>
              </w:tabs>
              <w:spacing w:lineRule="auto" w:line="276" w:before="0" w:after="0"/>
              <w:jc w:val="center"/>
              <w:rPr/>
            </w:pPr>
            <w:r>
              <w:rPr>
                <w:rFonts w:cs="Arial" w:ascii="Arial" w:hAnsi="Arial"/>
              </w:rPr>
              <w:t>Diretor de Infraestrutura Escola</w:t>
            </w:r>
            <w:r>
              <w:rPr>
                <w:rFonts w:cs="Arial" w:ascii="Arial" w:hAnsi="Arial"/>
              </w:rPr>
              <w:t>r</w:t>
            </w:r>
          </w:p>
        </w:tc>
      </w:tr>
    </w:tbl>
    <w:p>
      <w:pPr>
        <w:pStyle w:val="Normal"/>
        <w:tabs>
          <w:tab w:val="left" w:pos="851" w:leader="none"/>
        </w:tabs>
        <w:spacing w:lineRule="auto" w:line="276" w:before="0" w:after="120"/>
        <w:rPr/>
      </w:pPr>
      <w:r>
        <w:rPr/>
      </w:r>
    </w:p>
    <w:sectPr>
      <w:headerReference w:type="default" r:id="rId2"/>
      <w:footerReference w:type="default" r:id="rId3"/>
      <w:type w:val="nextPage"/>
      <w:pgSz w:w="11906" w:h="16838"/>
      <w:pgMar w:left="1701" w:right="1134" w:header="851" w:top="1667" w:footer="198" w:bottom="1134" w:gutter="0"/>
      <w:pgNumType w:fmt="decimal"/>
      <w:formProt w:val="false"/>
      <w:textDirection w:val="lrTb"/>
      <w:docGrid w:type="default" w:linePitch="36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w:charset w:val="00"/>
    <w:family w:val="roman"/>
    <w:pitch w:val="variable"/>
  </w:font>
  <w:font w:name="Cambria">
    <w:charset w:val="00"/>
    <w:family w:val="roman"/>
    <w:pitch w:val="variable"/>
  </w:font>
  <w:font w:name="Tahoma">
    <w:charset w:val="00"/>
    <w:family w:val="roman"/>
    <w:pitch w:val="variable"/>
  </w:font>
  <w:font w:name="Liberation Sans">
    <w:altName w:val="Arial"/>
    <w:charset w:val="00"/>
    <w:family w:val="roman"/>
    <w:pitch w:val="variable"/>
  </w:font>
  <w:font w:name="Calibri">
    <w:charset w:val="00"/>
    <w:family w:val="swiss"/>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Spacing"/>
      <w:jc w:val="right"/>
      <w:rPr>
        <w:sz w:val="16"/>
        <w:szCs w:val="16"/>
      </w:rPr>
    </w:pPr>
    <w:r>
      <w:drawing>
        <wp:anchor behindDoc="1" distT="0" distB="6985" distL="133350" distR="114300" simplePos="0" locked="0" layoutInCell="1" allowOverlap="1" relativeHeight="12">
          <wp:simplePos x="0" y="0"/>
          <wp:positionH relativeFrom="column">
            <wp:posOffset>-635</wp:posOffset>
          </wp:positionH>
          <wp:positionV relativeFrom="paragraph">
            <wp:posOffset>91440</wp:posOffset>
          </wp:positionV>
          <wp:extent cx="1853565" cy="583565"/>
          <wp:effectExtent l="0" t="0" r="0" b="0"/>
          <wp:wrapSquare wrapText="bothSides"/>
          <wp:docPr id="2" name="Imagem 2" descr="C:\Users\Usuário\Dropbox\Logotipo Educaçã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C:\Users\Usuário\Dropbox\Logotipo Educação.jpg"/>
                  <pic:cNvPicPr>
                    <a:picLocks noChangeAspect="1" noChangeArrowheads="1"/>
                  </pic:cNvPicPr>
                </pic:nvPicPr>
                <pic:blipFill>
                  <a:blip r:embed="rId1"/>
                  <a:srcRect l="10998" t="17689" r="11718" b="21773"/>
                  <a:stretch>
                    <a:fillRect/>
                  </a:stretch>
                </pic:blipFill>
                <pic:spPr bwMode="auto">
                  <a:xfrm>
                    <a:off x="0" y="0"/>
                    <a:ext cx="1853565" cy="583565"/>
                  </a:xfrm>
                  <a:prstGeom prst="rect">
                    <a:avLst/>
                  </a:prstGeom>
                </pic:spPr>
              </pic:pic>
            </a:graphicData>
          </a:graphic>
        </wp:anchor>
      </w:drawing>
    </w:r>
    <w:r>
      <w:rPr/>
      <w:t>S</w:t>
    </w:r>
    <w:r>
      <w:rPr/>
      <w:t>ecretaria Municipal de Educação</w:t>
    </w:r>
  </w:p>
  <w:p>
    <w:pPr>
      <w:pStyle w:val="NoSpacing"/>
      <w:jc w:val="right"/>
      <w:rPr>
        <w:sz w:val="16"/>
        <w:szCs w:val="16"/>
      </w:rPr>
    </w:pPr>
    <w:r>
      <w:rPr>
        <w:sz w:val="16"/>
        <w:szCs w:val="16"/>
      </w:rPr>
      <w:t>Avenida Vereador Abrahão João Francisco, 3855 - Ressacada</w:t>
    </w:r>
  </w:p>
  <w:p>
    <w:pPr>
      <w:pStyle w:val="NoSpacing"/>
      <w:jc w:val="right"/>
      <w:rPr>
        <w:sz w:val="16"/>
        <w:szCs w:val="16"/>
      </w:rPr>
    </w:pPr>
    <w:r>
      <w:rPr>
        <w:sz w:val="16"/>
        <w:szCs w:val="16"/>
      </w:rPr>
      <w:t>88307-303 • Itajaí • Santa Catarina</w:t>
    </w:r>
  </w:p>
  <w:p>
    <w:pPr>
      <w:pStyle w:val="NoSpacing"/>
      <w:jc w:val="right"/>
      <w:rPr>
        <w:sz w:val="16"/>
        <w:szCs w:val="16"/>
        <w:lang w:val="fr-FR"/>
      </w:rPr>
    </w:pPr>
    <w:r>
      <w:rPr>
        <w:sz w:val="16"/>
        <w:szCs w:val="16"/>
        <w:lang w:val="fr-FR"/>
      </w:rPr>
      <w:t>Fone: 47 3249-3300</w:t>
    </w:r>
  </w:p>
  <w:p>
    <w:pPr>
      <w:pStyle w:val="NoSpacing"/>
      <w:jc w:val="right"/>
      <w:rPr/>
    </w:pPr>
    <w:r>
      <w:rPr>
        <w:sz w:val="16"/>
        <w:szCs w:val="16"/>
        <w:lang w:val="fr-FR"/>
      </w:rPr>
      <w:t>die@edu.itajai.sc.gov.br</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Spacing"/>
      <w:rPr>
        <w:rFonts w:ascii="Times New Roman" w:hAnsi="Times New Roman" w:cs="Times New Roman"/>
        <w:sz w:val="24"/>
        <w:szCs w:val="24"/>
      </w:rPr>
    </w:pPr>
    <w:r>
      <w:rPr>
        <w:rFonts w:cs="Times New Roman" w:ascii="Times New Roman" w:hAnsi="Times New Roman"/>
        <w:sz w:val="24"/>
        <w:szCs w:val="24"/>
      </w:rPr>
      <w:drawing>
        <wp:anchor behindDoc="0" distT="0" distB="0" distL="133350" distR="116205" simplePos="0" locked="0" layoutInCell="1" allowOverlap="1" relativeHeight="23">
          <wp:simplePos x="0" y="0"/>
          <wp:positionH relativeFrom="column">
            <wp:posOffset>1732915</wp:posOffset>
          </wp:positionH>
          <wp:positionV relativeFrom="paragraph">
            <wp:posOffset>-182245</wp:posOffset>
          </wp:positionV>
          <wp:extent cx="2036445" cy="555625"/>
          <wp:effectExtent l="0" t="0" r="0" b="0"/>
          <wp:wrapTight wrapText="bothSides">
            <wp:wrapPolygon edited="0">
              <wp:start x="-453" y="0"/>
              <wp:lineTo x="-453" y="20421"/>
              <wp:lineTo x="21600" y="20421"/>
              <wp:lineTo x="21600" y="0"/>
              <wp:lineTo x="-453" y="0"/>
            </wp:wrapPolygon>
          </wp:wrapTight>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2036445" cy="555625"/>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502"/>
        </w:tabs>
        <w:ind w:left="502" w:hanging="360"/>
      </w:pPr>
      <w:rPr>
        <w:sz w:val="22"/>
        <w:i w:val="false"/>
        <w:b w:val="false"/>
        <w:szCs w:val="24"/>
      </w:rPr>
    </w:lvl>
    <w:lvl w:ilvl="1">
      <w:start w:val="1"/>
      <w:numFmt w:val="decimal"/>
      <w:lvlText w:val="%1.%2."/>
      <w:lvlJc w:val="left"/>
      <w:pPr>
        <w:tabs>
          <w:tab w:val="num" w:pos="1132"/>
        </w:tabs>
        <w:ind w:left="1567" w:hanging="432"/>
      </w:pPr>
      <w:rPr>
        <w:sz w:val="22"/>
        <w:i w:val="false"/>
        <w:b w:val="false"/>
        <w:szCs w:val="24"/>
        <w:rFonts w:ascii="Arial" w:hAnsi="Arial"/>
        <w:color w:val="00000A"/>
      </w:rPr>
    </w:lvl>
    <w:lvl w:ilvl="2">
      <w:start w:val="1"/>
      <w:numFmt w:val="decimal"/>
      <w:lvlText w:val="%1.%2.%3."/>
      <w:lvlJc w:val="left"/>
      <w:pPr>
        <w:tabs>
          <w:tab w:val="num" w:pos="1440"/>
        </w:tabs>
        <w:ind w:left="1224" w:hanging="504"/>
      </w:pPr>
      <w:rPr>
        <w:sz w:val="22"/>
        <w:i w:val="false"/>
        <w:b w:val="false"/>
        <w:rFonts w:ascii="Arial" w:hAnsi="Arial"/>
        <w:color w:val="00000A"/>
      </w:rPr>
    </w:lvl>
    <w:lvl w:ilvl="3">
      <w:start w:val="1"/>
      <w:numFmt w:val="decimal"/>
      <w:lvlText w:val="%1.%2.%3.%4."/>
      <w:lvlJc w:val="left"/>
      <w:pPr>
        <w:tabs>
          <w:tab w:val="num" w:pos="1800"/>
        </w:tabs>
        <w:ind w:left="1728" w:hanging="648"/>
      </w:pPr>
      <w:rPr>
        <w:b w:val="false"/>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lvl w:ilvl="0">
      <w:start w:val="16"/>
      <w:numFmt w:val="decimal"/>
      <w:lvlText w:val="%1."/>
      <w:lvlJc w:val="left"/>
      <w:pPr>
        <w:tabs>
          <w:tab w:val="num" w:pos="480"/>
        </w:tabs>
        <w:ind w:left="480" w:hanging="480"/>
      </w:pPr>
    </w:lvl>
    <w:lvl w:ilvl="1">
      <w:start w:val="8"/>
      <w:numFmt w:val="decimal"/>
      <w:lvlText w:val="%1.%2."/>
      <w:lvlJc w:val="left"/>
      <w:pPr>
        <w:tabs>
          <w:tab w:val="num" w:pos="660"/>
        </w:tabs>
        <w:ind w:left="660" w:hanging="480"/>
      </w:pPr>
      <w:rPr>
        <w:sz w:val="24"/>
        <w:b w:val="false"/>
        <w:szCs w:val="24"/>
      </w:rPr>
    </w:lvl>
    <w:lvl w:ilvl="2">
      <w:start w:val="1"/>
      <w:numFmt w:val="decimal"/>
      <w:lvlText w:val="%1.%2.%3."/>
      <w:lvlJc w:val="left"/>
      <w:pPr>
        <w:tabs>
          <w:tab w:val="num" w:pos="1004"/>
        </w:tabs>
        <w:ind w:left="1004" w:hanging="720"/>
      </w:pPr>
    </w:lvl>
    <w:lvl w:ilvl="3">
      <w:start w:val="1"/>
      <w:numFmt w:val="decimal"/>
      <w:lvlText w:val="%1.%2.%3.%4."/>
      <w:lvlJc w:val="left"/>
      <w:pPr>
        <w:tabs>
          <w:tab w:val="num" w:pos="1146"/>
        </w:tabs>
        <w:ind w:left="1146" w:hanging="720"/>
      </w:pPr>
    </w:lvl>
    <w:lvl w:ilvl="4">
      <w:start w:val="1"/>
      <w:numFmt w:val="decimal"/>
      <w:lvlText w:val="%1.%2.%3.%4.%5."/>
      <w:lvlJc w:val="left"/>
      <w:pPr>
        <w:tabs>
          <w:tab w:val="num" w:pos="1648"/>
        </w:tabs>
        <w:ind w:left="1648" w:hanging="1080"/>
      </w:pPr>
    </w:lvl>
    <w:lvl w:ilvl="5">
      <w:start w:val="1"/>
      <w:numFmt w:val="decimal"/>
      <w:lvlText w:val="%1.%2.%3.%4.%5.%6."/>
      <w:lvlJc w:val="left"/>
      <w:pPr>
        <w:tabs>
          <w:tab w:val="num" w:pos="1790"/>
        </w:tabs>
        <w:ind w:left="1790" w:hanging="1080"/>
      </w:pPr>
    </w:lvl>
    <w:lvl w:ilvl="6">
      <w:start w:val="1"/>
      <w:numFmt w:val="decimal"/>
      <w:lvlText w:val="%1.%2.%3.%4.%5.%6.%7."/>
      <w:lvlJc w:val="left"/>
      <w:pPr>
        <w:tabs>
          <w:tab w:val="num" w:pos="2292"/>
        </w:tabs>
        <w:ind w:left="2292" w:hanging="1440"/>
      </w:pPr>
    </w:lvl>
    <w:lvl w:ilvl="7">
      <w:start w:val="1"/>
      <w:numFmt w:val="decimal"/>
      <w:lvlText w:val="%1.%2.%3.%4.%5.%6.%7.%8."/>
      <w:lvlJc w:val="left"/>
      <w:pPr>
        <w:tabs>
          <w:tab w:val="num" w:pos="2434"/>
        </w:tabs>
        <w:ind w:left="2434" w:hanging="1440"/>
      </w:pPr>
    </w:lvl>
    <w:lvl w:ilvl="8">
      <w:start w:val="1"/>
      <w:numFmt w:val="decimal"/>
      <w:lvlText w:val="%1.%2.%3.%4.%5.%6.%7.%8.%9."/>
      <w:lvlJc w:val="left"/>
      <w:pPr>
        <w:tabs>
          <w:tab w:val="num" w:pos="2936"/>
        </w:tabs>
        <w:ind w:left="2936" w:hanging="1800"/>
      </w:pPr>
    </w:lvl>
  </w:abstractNum>
  <w:abstractNum w:abstractNumId="3">
    <w:lvl w:ilvl="0">
      <w:start w:val="1"/>
      <w:numFmt w:val="bullet"/>
      <w:lvlText w:val=""/>
      <w:lvlJc w:val="left"/>
      <w:pPr>
        <w:tabs>
          <w:tab w:val="num" w:pos="720"/>
        </w:tabs>
        <w:ind w:left="720" w:hanging="360"/>
      </w:pPr>
      <w:rPr>
        <w:rFonts w:ascii="Symbol" w:hAnsi="Symbol" w:cs="Symbol" w:hint="default"/>
        <w:rFonts w:cs="Symbol"/>
      </w:rPr>
    </w:lvl>
    <w:lvl w:ilvl="1">
      <w:start w:val="1"/>
      <w:numFmt w:val="bullet"/>
      <w:lvlText w:val="o"/>
      <w:lvlJc w:val="left"/>
      <w:pPr>
        <w:tabs>
          <w:tab w:val="num" w:pos="1440"/>
        </w:tabs>
        <w:ind w:left="1440" w:hanging="360"/>
      </w:pPr>
      <w:rPr>
        <w:rFonts w:ascii="Courier New" w:hAnsi="Courier New" w:cs="Courier New" w:hint="default"/>
        <w:rFonts w:cs="Courier New"/>
      </w:rPr>
    </w:lvl>
    <w:lvl w:ilvl="2">
      <w:start w:val="1"/>
      <w:numFmt w:val="bullet"/>
      <w:lvlText w:val=""/>
      <w:lvlJc w:val="left"/>
      <w:pPr>
        <w:tabs>
          <w:tab w:val="num" w:pos="2160"/>
        </w:tabs>
        <w:ind w:left="2160" w:hanging="360"/>
      </w:pPr>
      <w:rPr>
        <w:rFonts w:ascii="Wingdings" w:hAnsi="Wingdings" w:cs="Wingdings" w:hint="default"/>
        <w:rFonts w:cs="Wingdings"/>
      </w:rPr>
    </w:lvl>
    <w:lvl w:ilvl="3">
      <w:start w:val="1"/>
      <w:numFmt w:val="bullet"/>
      <w:lvlText w:val=""/>
      <w:lvlJc w:val="left"/>
      <w:pPr>
        <w:tabs>
          <w:tab w:val="num" w:pos="2880"/>
        </w:tabs>
        <w:ind w:left="2880" w:hanging="360"/>
      </w:pPr>
      <w:rPr>
        <w:rFonts w:ascii="Symbol" w:hAnsi="Symbol" w:cs="Symbol" w:hint="default"/>
        <w:sz w:val="22"/>
        <w:rFonts w:cs="Symbol"/>
      </w:rPr>
    </w:lvl>
    <w:lvl w:ilvl="4">
      <w:start w:val="1"/>
      <w:numFmt w:val="bullet"/>
      <w:lvlText w:val="o"/>
      <w:lvlJc w:val="left"/>
      <w:pPr>
        <w:tabs>
          <w:tab w:val="num" w:pos="3600"/>
        </w:tabs>
        <w:ind w:left="3600" w:hanging="360"/>
      </w:pPr>
      <w:rPr>
        <w:rFonts w:ascii="Courier New" w:hAnsi="Courier New" w:cs="Courier New" w:hint="default"/>
        <w:rFonts w:cs="Courier New"/>
      </w:rPr>
    </w:lvl>
    <w:lvl w:ilvl="5">
      <w:start w:val="1"/>
      <w:numFmt w:val="bullet"/>
      <w:lvlText w:val=""/>
      <w:lvlJc w:val="left"/>
      <w:pPr>
        <w:tabs>
          <w:tab w:val="num" w:pos="4320"/>
        </w:tabs>
        <w:ind w:left="4320" w:hanging="360"/>
      </w:pPr>
      <w:rPr>
        <w:rFonts w:ascii="Wingdings" w:hAnsi="Wingdings" w:cs="Wingdings" w:hint="default"/>
        <w:rFonts w:cs="Wingdings"/>
      </w:rPr>
    </w:lvl>
    <w:lvl w:ilvl="6">
      <w:start w:val="1"/>
      <w:numFmt w:val="bullet"/>
      <w:lvlText w:val=""/>
      <w:lvlJc w:val="left"/>
      <w:pPr>
        <w:tabs>
          <w:tab w:val="num" w:pos="5040"/>
        </w:tabs>
        <w:ind w:left="5040" w:hanging="360"/>
      </w:pPr>
      <w:rPr>
        <w:rFonts w:ascii="Symbol" w:hAnsi="Symbol" w:cs="Symbol" w:hint="default"/>
        <w:rFonts w:cs="Symbol"/>
      </w:rPr>
    </w:lvl>
    <w:lvl w:ilvl="7">
      <w:start w:val="1"/>
      <w:numFmt w:val="bullet"/>
      <w:lvlText w:val="o"/>
      <w:lvlJc w:val="left"/>
      <w:pPr>
        <w:tabs>
          <w:tab w:val="num" w:pos="5760"/>
        </w:tabs>
        <w:ind w:left="5760" w:hanging="360"/>
      </w:pPr>
      <w:rPr>
        <w:rFonts w:ascii="Courier New" w:hAnsi="Courier New" w:cs="Courier New" w:hint="default"/>
        <w:rFonts w:cs="Courier New"/>
      </w:rPr>
    </w:lvl>
    <w:lvl w:ilvl="8">
      <w:start w:val="1"/>
      <w:numFmt w:val="bullet"/>
      <w:lvlText w:val=""/>
      <w:lvlJc w:val="left"/>
      <w:pPr>
        <w:tabs>
          <w:tab w:val="num" w:pos="6480"/>
        </w:tabs>
        <w:ind w:left="6480" w:hanging="360"/>
      </w:pPr>
      <w:rPr>
        <w:rFonts w:ascii="Wingdings" w:hAnsi="Wingdings" w:cs="Wingdings" w:hint="default"/>
        <w:rFonts w:cs="Wingdings"/>
      </w:rPr>
    </w:lvl>
  </w:abstractNum>
  <w:abstractNum w:abstractNumId="4">
    <w:lvl w:ilvl="0">
      <w:start w:val="11"/>
      <w:numFmt w:val="decimal"/>
      <w:lvlText w:val="%1."/>
      <w:lvlJc w:val="left"/>
      <w:pPr>
        <w:tabs>
          <w:tab w:val="num" w:pos="540"/>
        </w:tabs>
        <w:ind w:left="540" w:hanging="540"/>
      </w:pPr>
    </w:lvl>
    <w:lvl w:ilvl="1">
      <w:start w:val="1"/>
      <w:numFmt w:val="decimal"/>
      <w:lvlText w:val="%1.%2."/>
      <w:lvlJc w:val="left"/>
      <w:pPr>
        <w:tabs>
          <w:tab w:val="num" w:pos="1980"/>
        </w:tabs>
        <w:ind w:left="1980" w:hanging="540"/>
      </w:pPr>
      <w:rPr>
        <w:sz w:val="22"/>
        <w:b w:val="false"/>
        <w:rFonts w:ascii="Arial" w:hAnsi="Arial"/>
      </w:rPr>
    </w:lvl>
    <w:lvl w:ilvl="2">
      <w:start w:val="1"/>
      <w:numFmt w:val="decimal"/>
      <w:lvlText w:val="%1.%2.%3."/>
      <w:lvlJc w:val="left"/>
      <w:pPr>
        <w:tabs>
          <w:tab w:val="num" w:pos="3600"/>
        </w:tabs>
        <w:ind w:left="3600" w:hanging="720"/>
      </w:pPr>
    </w:lvl>
    <w:lvl w:ilvl="3">
      <w:start w:val="1"/>
      <w:numFmt w:val="decimal"/>
      <w:lvlText w:val="%1.%2.%3.%4."/>
      <w:lvlJc w:val="left"/>
      <w:pPr>
        <w:tabs>
          <w:tab w:val="num" w:pos="5040"/>
        </w:tabs>
        <w:ind w:left="5040" w:hanging="720"/>
      </w:pPr>
    </w:lvl>
    <w:lvl w:ilvl="4">
      <w:start w:val="1"/>
      <w:numFmt w:val="decimal"/>
      <w:lvlText w:val="%1.%2.%3.%4.%5."/>
      <w:lvlJc w:val="left"/>
      <w:pPr>
        <w:tabs>
          <w:tab w:val="num" w:pos="6840"/>
        </w:tabs>
        <w:ind w:left="6840" w:hanging="1080"/>
      </w:pPr>
    </w:lvl>
    <w:lvl w:ilvl="5">
      <w:start w:val="1"/>
      <w:numFmt w:val="decimal"/>
      <w:lvlText w:val="%1.%2.%3.%4.%5.%6."/>
      <w:lvlJc w:val="left"/>
      <w:pPr>
        <w:tabs>
          <w:tab w:val="num" w:pos="8280"/>
        </w:tabs>
        <w:ind w:left="8280" w:hanging="1080"/>
      </w:pPr>
    </w:lvl>
    <w:lvl w:ilvl="6">
      <w:start w:val="1"/>
      <w:numFmt w:val="decimal"/>
      <w:lvlText w:val="%1.%2.%3.%4.%5.%6.%7."/>
      <w:lvlJc w:val="left"/>
      <w:pPr>
        <w:tabs>
          <w:tab w:val="num" w:pos="10080"/>
        </w:tabs>
        <w:ind w:left="10080" w:hanging="1440"/>
      </w:pPr>
    </w:lvl>
    <w:lvl w:ilvl="7">
      <w:start w:val="1"/>
      <w:numFmt w:val="decimal"/>
      <w:lvlText w:val="%1.%2.%3.%4.%5.%6.%7.%8."/>
      <w:lvlJc w:val="left"/>
      <w:pPr>
        <w:tabs>
          <w:tab w:val="num" w:pos="11520"/>
        </w:tabs>
        <w:ind w:left="11520" w:hanging="1440"/>
      </w:pPr>
    </w:lvl>
    <w:lvl w:ilvl="8">
      <w:start w:val="1"/>
      <w:numFmt w:val="decimal"/>
      <w:lvlText w:val="%1.%2.%3.%4.%5.%6.%7.%8.%9."/>
      <w:lvlJc w:val="left"/>
      <w:pPr>
        <w:tabs>
          <w:tab w:val="num" w:pos="13320"/>
        </w:tabs>
        <w:ind w:left="13320" w:hanging="1800"/>
      </w:pPr>
    </w:lvl>
  </w:abstractNum>
  <w:abstractNum w:abstractNumId="5">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8"/>
  <w:autoHyphenation w:val="false"/>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0"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annotation reference" w:uiPriority="0"/>
    <w:lsdException w:name="Title" w:uiPriority="10" w:semiHidden="0" w:unhideWhenUsed="0" w:qFormat="1"/>
    <w:lsdException w:name="Default Paragraph Font" w:uiPriority="1"/>
    <w:lsdException w:name="Body Text" w:uiPriority="0"/>
    <w:lsdException w:name="Subtitle" w:uiPriority="11" w:semiHidden="0" w:unhideWhenUsed="0" w:qFormat="1"/>
    <w:lsdException w:name="Body Text 3" w:uiPriority="0"/>
    <w:lsdException w:name="Body Text Indent 2" w:uiPriority="0"/>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0"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bc6584"/>
    <w:pPr>
      <w:widowControl w:val="false"/>
      <w:suppressAutoHyphens w:val="true"/>
      <w:bidi w:val="0"/>
      <w:spacing w:lineRule="auto" w:line="240" w:before="0" w:after="0"/>
      <w:jc w:val="left"/>
    </w:pPr>
    <w:rPr>
      <w:rFonts w:ascii="Times New Roman" w:hAnsi="Times New Roman" w:eastAsia="Lucida Sans Unicode" w:cs="Times New Roman"/>
      <w:color w:val="00000A"/>
      <w:sz w:val="24"/>
      <w:szCs w:val="24"/>
      <w:lang w:val="pt-BR" w:eastAsia="en-US" w:bidi="ar-SA"/>
    </w:rPr>
  </w:style>
  <w:style w:type="paragraph" w:styleId="Ttulo1">
    <w:name w:val="Heading 1"/>
    <w:basedOn w:val="Ttulododocumento"/>
    <w:link w:val="Ttulo1Char"/>
    <w:qFormat/>
    <w:rsid w:val="00bc6584"/>
    <w:pPr>
      <w:keepNext/>
      <w:tabs>
        <w:tab w:val="left" w:pos="0" w:leader="none"/>
      </w:tabs>
      <w:spacing w:before="240" w:after="120"/>
      <w:outlineLvl w:val="0"/>
    </w:pPr>
    <w:rPr>
      <w:rFonts w:ascii="Arial" w:hAnsi="Arial" w:eastAsia="Lucida Sans Unicode" w:cs="Tahoma"/>
      <w:b/>
      <w:bCs/>
      <w:color w:val="00000A"/>
      <w:spacing w:val="0"/>
      <w:sz w:val="32"/>
      <w:szCs w:val="32"/>
    </w:rPr>
  </w:style>
  <w:style w:type="character" w:styleId="DefaultParagraphFont" w:default="1">
    <w:name w:val="Default Paragraph Font"/>
    <w:uiPriority w:val="1"/>
    <w:semiHidden/>
    <w:unhideWhenUsed/>
    <w:qFormat/>
    <w:rPr/>
  </w:style>
  <w:style w:type="character" w:styleId="Ttulo1Char" w:customStyle="1">
    <w:name w:val="Título 1 Char"/>
    <w:basedOn w:val="DefaultParagraphFont"/>
    <w:link w:val="Ttulo1"/>
    <w:qFormat/>
    <w:rsid w:val="00bc6584"/>
    <w:rPr>
      <w:rFonts w:ascii="Arial" w:hAnsi="Arial" w:eastAsia="Lucida Sans Unicode" w:cs="Tahoma"/>
      <w:b/>
      <w:bCs/>
      <w:sz w:val="32"/>
      <w:szCs w:val="32"/>
    </w:rPr>
  </w:style>
  <w:style w:type="character" w:styleId="CabealhoChar" w:customStyle="1">
    <w:name w:val="Cabeçalho Char"/>
    <w:basedOn w:val="DefaultParagraphFont"/>
    <w:link w:val="Cabealho"/>
    <w:uiPriority w:val="99"/>
    <w:qFormat/>
    <w:rsid w:val="00bc6584"/>
    <w:rPr/>
  </w:style>
  <w:style w:type="character" w:styleId="RodapChar" w:customStyle="1">
    <w:name w:val="Rodapé Char"/>
    <w:basedOn w:val="DefaultParagraphFont"/>
    <w:link w:val="Rodap"/>
    <w:qFormat/>
    <w:rsid w:val="00bc6584"/>
    <w:rPr/>
  </w:style>
  <w:style w:type="character" w:styleId="CorpodetextoChar" w:customStyle="1">
    <w:name w:val="Corpo de texto Char"/>
    <w:basedOn w:val="DefaultParagraphFont"/>
    <w:link w:val="Corpodetexto"/>
    <w:qFormat/>
    <w:rsid w:val="00bc6584"/>
    <w:rPr>
      <w:rFonts w:ascii="Times New Roman" w:hAnsi="Times New Roman" w:eastAsia="Lucida Sans Unicode" w:cs="Times New Roman"/>
      <w:sz w:val="24"/>
      <w:szCs w:val="24"/>
    </w:rPr>
  </w:style>
  <w:style w:type="character" w:styleId="TtuloChar" w:customStyle="1">
    <w:name w:val="Título Char"/>
    <w:basedOn w:val="DefaultParagraphFont"/>
    <w:link w:val="Ttulo"/>
    <w:uiPriority w:val="10"/>
    <w:qFormat/>
    <w:rsid w:val="00bc6584"/>
    <w:rPr>
      <w:rFonts w:ascii="Cambria" w:hAnsi="Cambria" w:eastAsia="" w:cs="" w:asciiTheme="majorHAnsi" w:cstheme="majorBidi" w:eastAsiaTheme="majorEastAsia" w:hAnsiTheme="majorHAnsi"/>
      <w:color w:val="17365D" w:themeColor="text2" w:themeShade="bf"/>
      <w:spacing w:val="5"/>
      <w:sz w:val="52"/>
      <w:szCs w:val="52"/>
    </w:rPr>
  </w:style>
  <w:style w:type="character" w:styleId="TextodebaloChar" w:customStyle="1">
    <w:name w:val="Texto de balão Char"/>
    <w:basedOn w:val="DefaultParagraphFont"/>
    <w:link w:val="Textodebalo"/>
    <w:uiPriority w:val="99"/>
    <w:semiHidden/>
    <w:qFormat/>
    <w:rsid w:val="00bc6584"/>
    <w:rPr>
      <w:rFonts w:ascii="Tahoma" w:hAnsi="Tahoma" w:eastAsia="Lucida Sans Unicode" w:cs="Tahoma"/>
      <w:sz w:val="16"/>
      <w:szCs w:val="16"/>
    </w:rPr>
  </w:style>
  <w:style w:type="character" w:styleId="Recuodecorpodetexto2Char" w:customStyle="1">
    <w:name w:val="Recuo de corpo de texto 2 Char"/>
    <w:basedOn w:val="DefaultParagraphFont"/>
    <w:link w:val="Recuodecorpodetexto2"/>
    <w:qFormat/>
    <w:rsid w:val="00515a8f"/>
    <w:rPr>
      <w:rFonts w:ascii="Times New Roman" w:hAnsi="Times New Roman" w:eastAsia="Lucida Sans Unicode" w:cs="Times New Roman"/>
      <w:sz w:val="24"/>
      <w:szCs w:val="24"/>
    </w:rPr>
  </w:style>
  <w:style w:type="character" w:styleId="Corpodetexto3Char" w:customStyle="1">
    <w:name w:val="Corpo de texto 3 Char"/>
    <w:basedOn w:val="DefaultParagraphFont"/>
    <w:link w:val="Corpodetexto3"/>
    <w:qFormat/>
    <w:rsid w:val="00c85edf"/>
    <w:rPr>
      <w:rFonts w:ascii="Times New Roman" w:hAnsi="Times New Roman" w:eastAsia="Times New Roman" w:cs="Times New Roman"/>
      <w:sz w:val="16"/>
      <w:szCs w:val="16"/>
      <w:lang w:eastAsia="pt-BR"/>
    </w:rPr>
  </w:style>
  <w:style w:type="character" w:styleId="Annotationreference">
    <w:name w:val="annotation reference"/>
    <w:basedOn w:val="DefaultParagraphFont"/>
    <w:qFormat/>
    <w:rsid w:val="00c85edf"/>
    <w:rPr>
      <w:sz w:val="16"/>
      <w:szCs w:val="16"/>
    </w:rPr>
  </w:style>
  <w:style w:type="character" w:styleId="Applestylespan" w:customStyle="1">
    <w:name w:val="apple-style-span"/>
    <w:basedOn w:val="DefaultParagraphFont"/>
    <w:qFormat/>
    <w:rsid w:val="00c85edf"/>
    <w:rPr/>
  </w:style>
  <w:style w:type="character" w:styleId="ListLabel1">
    <w:name w:val="ListLabel 1"/>
    <w:qFormat/>
    <w:rPr>
      <w:rFonts w:cs="Courier New"/>
    </w:rPr>
  </w:style>
  <w:style w:type="character" w:styleId="ListLabel2">
    <w:name w:val="ListLabel 2"/>
    <w:qFormat/>
    <w:rPr>
      <w:rFonts w:cs="Courier New"/>
    </w:rPr>
  </w:style>
  <w:style w:type="character" w:styleId="ListLabel3">
    <w:name w:val="ListLabel 3"/>
    <w:qFormat/>
    <w:rPr>
      <w:rFonts w:cs="Courier New"/>
    </w:rPr>
  </w:style>
  <w:style w:type="character" w:styleId="ListLabel4">
    <w:name w:val="ListLabel 4"/>
    <w:qFormat/>
    <w:rPr>
      <w:b w:val="false"/>
      <w:i w:val="false"/>
      <w:sz w:val="22"/>
      <w:szCs w:val="24"/>
    </w:rPr>
  </w:style>
  <w:style w:type="character" w:styleId="ListLabel5">
    <w:name w:val="ListLabel 5"/>
    <w:qFormat/>
    <w:rPr>
      <w:rFonts w:ascii="Arial" w:hAnsi="Arial"/>
      <w:b w:val="false"/>
      <w:i w:val="false"/>
      <w:color w:val="00000A"/>
      <w:sz w:val="22"/>
      <w:szCs w:val="24"/>
    </w:rPr>
  </w:style>
  <w:style w:type="character" w:styleId="ListLabel6">
    <w:name w:val="ListLabel 6"/>
    <w:qFormat/>
    <w:rPr>
      <w:rFonts w:ascii="Arial" w:hAnsi="Arial"/>
      <w:b w:val="false"/>
      <w:i w:val="false"/>
      <w:color w:val="00000A"/>
      <w:sz w:val="22"/>
    </w:rPr>
  </w:style>
  <w:style w:type="character" w:styleId="ListLabel7">
    <w:name w:val="ListLabel 7"/>
    <w:qFormat/>
    <w:rPr>
      <w:b w:val="false"/>
    </w:rPr>
  </w:style>
  <w:style w:type="character" w:styleId="ListLabel8">
    <w:name w:val="ListLabel 8"/>
    <w:qFormat/>
    <w:rPr>
      <w:b w:val="false"/>
      <w:sz w:val="24"/>
      <w:szCs w:val="24"/>
    </w:rPr>
  </w:style>
  <w:style w:type="character" w:styleId="ListLabel9">
    <w:name w:val="ListLabel 9"/>
    <w:qFormat/>
    <w:rPr>
      <w:rFonts w:cs="Courier New"/>
    </w:rPr>
  </w:style>
  <w:style w:type="character" w:styleId="ListLabel10">
    <w:name w:val="ListLabel 10"/>
    <w:qFormat/>
    <w:rPr>
      <w:rFonts w:cs="Courier New"/>
    </w:rPr>
  </w:style>
  <w:style w:type="character" w:styleId="ListLabel11">
    <w:name w:val="ListLabel 11"/>
    <w:qFormat/>
    <w:rPr>
      <w:rFonts w:cs="Courier New"/>
    </w:rPr>
  </w:style>
  <w:style w:type="character" w:styleId="ListLabel12">
    <w:name w:val="ListLabel 12"/>
    <w:qFormat/>
    <w:rPr>
      <w:rFonts w:ascii="Arial" w:hAnsi="Arial"/>
      <w:b w:val="false"/>
      <w:sz w:val="22"/>
    </w:rPr>
  </w:style>
  <w:style w:type="character" w:styleId="ListLabel13">
    <w:name w:val="ListLabel 13"/>
    <w:qFormat/>
    <w:rPr>
      <w:rFonts w:cs="Courier New"/>
    </w:rPr>
  </w:style>
  <w:style w:type="character" w:styleId="ListLabel14">
    <w:name w:val="ListLabel 14"/>
    <w:qFormat/>
    <w:rPr>
      <w:rFonts w:cs="Courier New"/>
    </w:rPr>
  </w:style>
  <w:style w:type="character" w:styleId="ListLabel15">
    <w:name w:val="ListLabel 15"/>
    <w:qFormat/>
    <w:rPr>
      <w:rFonts w:cs="Courier New"/>
    </w:rPr>
  </w:style>
  <w:style w:type="character" w:styleId="ListLabel16">
    <w:name w:val="ListLabel 16"/>
    <w:qFormat/>
    <w:rPr>
      <w:b w:val="false"/>
      <w:i w:val="false"/>
      <w:sz w:val="22"/>
      <w:szCs w:val="24"/>
    </w:rPr>
  </w:style>
  <w:style w:type="character" w:styleId="ListLabel17">
    <w:name w:val="ListLabel 17"/>
    <w:qFormat/>
    <w:rPr>
      <w:rFonts w:ascii="Arial" w:hAnsi="Arial"/>
      <w:b w:val="false"/>
      <w:i w:val="false"/>
      <w:color w:val="00000A"/>
      <w:sz w:val="22"/>
      <w:szCs w:val="24"/>
    </w:rPr>
  </w:style>
  <w:style w:type="character" w:styleId="ListLabel18">
    <w:name w:val="ListLabel 18"/>
    <w:qFormat/>
    <w:rPr>
      <w:rFonts w:ascii="Arial" w:hAnsi="Arial"/>
      <w:b w:val="false"/>
      <w:i w:val="false"/>
      <w:color w:val="00000A"/>
      <w:sz w:val="22"/>
    </w:rPr>
  </w:style>
  <w:style w:type="character" w:styleId="ListLabel19">
    <w:name w:val="ListLabel 19"/>
    <w:qFormat/>
    <w:rPr>
      <w:b w:val="false"/>
    </w:rPr>
  </w:style>
  <w:style w:type="character" w:styleId="ListLabel20">
    <w:name w:val="ListLabel 20"/>
    <w:qFormat/>
    <w:rPr>
      <w:b w:val="false"/>
      <w:sz w:val="24"/>
      <w:szCs w:val="24"/>
    </w:rPr>
  </w:style>
  <w:style w:type="character" w:styleId="ListLabel21">
    <w:name w:val="ListLabel 21"/>
    <w:qFormat/>
    <w:rPr>
      <w:rFonts w:cs="Symbol"/>
    </w:rPr>
  </w:style>
  <w:style w:type="character" w:styleId="ListLabel22">
    <w:name w:val="ListLabel 22"/>
    <w:qFormat/>
    <w:rPr>
      <w:rFonts w:cs="Courier New"/>
    </w:rPr>
  </w:style>
  <w:style w:type="character" w:styleId="ListLabel23">
    <w:name w:val="ListLabel 23"/>
    <w:qFormat/>
    <w:rPr>
      <w:rFonts w:cs="Wingdings"/>
    </w:rPr>
  </w:style>
  <w:style w:type="character" w:styleId="ListLabel24">
    <w:name w:val="ListLabel 24"/>
    <w:qFormat/>
    <w:rPr>
      <w:rFonts w:ascii="Arial" w:hAnsi="Arial" w:cs="Symbol"/>
      <w:sz w:val="22"/>
    </w:rPr>
  </w:style>
  <w:style w:type="character" w:styleId="ListLabel25">
    <w:name w:val="ListLabel 25"/>
    <w:qFormat/>
    <w:rPr>
      <w:rFonts w:cs="Courier New"/>
    </w:rPr>
  </w:style>
  <w:style w:type="character" w:styleId="ListLabel26">
    <w:name w:val="ListLabel 26"/>
    <w:qFormat/>
    <w:rPr>
      <w:rFonts w:cs="Wingdings"/>
    </w:rPr>
  </w:style>
  <w:style w:type="character" w:styleId="ListLabel27">
    <w:name w:val="ListLabel 27"/>
    <w:qFormat/>
    <w:rPr>
      <w:rFonts w:cs="Symbol"/>
    </w:rPr>
  </w:style>
  <w:style w:type="character" w:styleId="ListLabel28">
    <w:name w:val="ListLabel 28"/>
    <w:qFormat/>
    <w:rPr>
      <w:rFonts w:cs="Courier New"/>
    </w:rPr>
  </w:style>
  <w:style w:type="character" w:styleId="ListLabel29">
    <w:name w:val="ListLabel 29"/>
    <w:qFormat/>
    <w:rPr>
      <w:rFonts w:cs="Wingdings"/>
    </w:rPr>
  </w:style>
  <w:style w:type="character" w:styleId="ListLabel30">
    <w:name w:val="ListLabel 30"/>
    <w:qFormat/>
    <w:rPr>
      <w:rFonts w:ascii="Arial" w:hAnsi="Arial"/>
      <w:b w:val="false"/>
      <w:sz w:val="22"/>
    </w:rPr>
  </w:style>
  <w:style w:type="character" w:styleId="ListLabel31">
    <w:name w:val="ListLabel 31"/>
    <w:qFormat/>
    <w:rPr>
      <w:b w:val="false"/>
      <w:i w:val="false"/>
      <w:sz w:val="22"/>
      <w:szCs w:val="24"/>
    </w:rPr>
  </w:style>
  <w:style w:type="character" w:styleId="ListLabel32">
    <w:name w:val="ListLabel 32"/>
    <w:qFormat/>
    <w:rPr>
      <w:rFonts w:ascii="Arial" w:hAnsi="Arial"/>
      <w:b w:val="false"/>
      <w:i w:val="false"/>
      <w:color w:val="00000A"/>
      <w:sz w:val="22"/>
      <w:szCs w:val="24"/>
    </w:rPr>
  </w:style>
  <w:style w:type="character" w:styleId="ListLabel33">
    <w:name w:val="ListLabel 33"/>
    <w:qFormat/>
    <w:rPr>
      <w:rFonts w:ascii="Arial" w:hAnsi="Arial"/>
      <w:b w:val="false"/>
      <w:i w:val="false"/>
      <w:color w:val="00000A"/>
      <w:sz w:val="22"/>
    </w:rPr>
  </w:style>
  <w:style w:type="character" w:styleId="ListLabel34">
    <w:name w:val="ListLabel 34"/>
    <w:qFormat/>
    <w:rPr>
      <w:b w:val="false"/>
    </w:rPr>
  </w:style>
  <w:style w:type="character" w:styleId="ListLabel35">
    <w:name w:val="ListLabel 35"/>
    <w:qFormat/>
    <w:rPr>
      <w:b w:val="false"/>
      <w:sz w:val="24"/>
      <w:szCs w:val="24"/>
    </w:rPr>
  </w:style>
  <w:style w:type="character" w:styleId="ListLabel36">
    <w:name w:val="ListLabel 36"/>
    <w:qFormat/>
    <w:rPr>
      <w:rFonts w:cs="Symbol"/>
    </w:rPr>
  </w:style>
  <w:style w:type="character" w:styleId="ListLabel37">
    <w:name w:val="ListLabel 37"/>
    <w:qFormat/>
    <w:rPr>
      <w:rFonts w:cs="Courier New"/>
    </w:rPr>
  </w:style>
  <w:style w:type="character" w:styleId="ListLabel38">
    <w:name w:val="ListLabel 38"/>
    <w:qFormat/>
    <w:rPr>
      <w:rFonts w:cs="Wingdings"/>
    </w:rPr>
  </w:style>
  <w:style w:type="character" w:styleId="ListLabel39">
    <w:name w:val="ListLabel 39"/>
    <w:qFormat/>
    <w:rPr>
      <w:rFonts w:ascii="Arial" w:hAnsi="Arial" w:cs="Symbol"/>
      <w:sz w:val="22"/>
    </w:rPr>
  </w:style>
  <w:style w:type="character" w:styleId="ListLabel40">
    <w:name w:val="ListLabel 40"/>
    <w:qFormat/>
    <w:rPr>
      <w:rFonts w:cs="Courier New"/>
    </w:rPr>
  </w:style>
  <w:style w:type="character" w:styleId="ListLabel41">
    <w:name w:val="ListLabel 41"/>
    <w:qFormat/>
    <w:rPr>
      <w:rFonts w:cs="Wingdings"/>
    </w:rPr>
  </w:style>
  <w:style w:type="character" w:styleId="ListLabel42">
    <w:name w:val="ListLabel 42"/>
    <w:qFormat/>
    <w:rPr>
      <w:rFonts w:cs="Symbol"/>
    </w:rPr>
  </w:style>
  <w:style w:type="character" w:styleId="ListLabel43">
    <w:name w:val="ListLabel 43"/>
    <w:qFormat/>
    <w:rPr>
      <w:rFonts w:cs="Courier New"/>
    </w:rPr>
  </w:style>
  <w:style w:type="character" w:styleId="ListLabel44">
    <w:name w:val="ListLabel 44"/>
    <w:qFormat/>
    <w:rPr>
      <w:rFonts w:cs="Wingdings"/>
    </w:rPr>
  </w:style>
  <w:style w:type="character" w:styleId="ListLabel45">
    <w:name w:val="ListLabel 45"/>
    <w:qFormat/>
    <w:rPr>
      <w:rFonts w:ascii="Arial" w:hAnsi="Arial"/>
      <w:b w:val="false"/>
      <w:sz w:val="22"/>
    </w:rPr>
  </w:style>
  <w:style w:type="character" w:styleId="ListLabel46">
    <w:name w:val="ListLabel 46"/>
    <w:qFormat/>
    <w:rPr>
      <w:b w:val="false"/>
      <w:i w:val="false"/>
      <w:sz w:val="22"/>
      <w:szCs w:val="24"/>
    </w:rPr>
  </w:style>
  <w:style w:type="character" w:styleId="ListLabel47">
    <w:name w:val="ListLabel 47"/>
    <w:qFormat/>
    <w:rPr>
      <w:rFonts w:ascii="Arial" w:hAnsi="Arial"/>
      <w:b w:val="false"/>
      <w:i w:val="false"/>
      <w:color w:val="00000A"/>
      <w:sz w:val="22"/>
      <w:szCs w:val="24"/>
    </w:rPr>
  </w:style>
  <w:style w:type="character" w:styleId="ListLabel48">
    <w:name w:val="ListLabel 48"/>
    <w:qFormat/>
    <w:rPr>
      <w:rFonts w:ascii="Arial" w:hAnsi="Arial"/>
      <w:b w:val="false"/>
      <w:i w:val="false"/>
      <w:color w:val="00000A"/>
      <w:sz w:val="22"/>
    </w:rPr>
  </w:style>
  <w:style w:type="character" w:styleId="ListLabel49">
    <w:name w:val="ListLabel 49"/>
    <w:qFormat/>
    <w:rPr>
      <w:b w:val="false"/>
    </w:rPr>
  </w:style>
  <w:style w:type="character" w:styleId="ListLabel50">
    <w:name w:val="ListLabel 50"/>
    <w:qFormat/>
    <w:rPr>
      <w:b w:val="false"/>
      <w:sz w:val="24"/>
      <w:szCs w:val="24"/>
    </w:rPr>
  </w:style>
  <w:style w:type="character" w:styleId="ListLabel51">
    <w:name w:val="ListLabel 51"/>
    <w:qFormat/>
    <w:rPr>
      <w:rFonts w:cs="Symbol"/>
    </w:rPr>
  </w:style>
  <w:style w:type="character" w:styleId="ListLabel52">
    <w:name w:val="ListLabel 52"/>
    <w:qFormat/>
    <w:rPr>
      <w:rFonts w:cs="Courier New"/>
    </w:rPr>
  </w:style>
  <w:style w:type="character" w:styleId="ListLabel53">
    <w:name w:val="ListLabel 53"/>
    <w:qFormat/>
    <w:rPr>
      <w:rFonts w:cs="Wingdings"/>
    </w:rPr>
  </w:style>
  <w:style w:type="character" w:styleId="ListLabel54">
    <w:name w:val="ListLabel 54"/>
    <w:qFormat/>
    <w:rPr>
      <w:rFonts w:ascii="Arial" w:hAnsi="Arial" w:cs="Symbol"/>
      <w:sz w:val="22"/>
    </w:rPr>
  </w:style>
  <w:style w:type="character" w:styleId="ListLabel55">
    <w:name w:val="ListLabel 55"/>
    <w:qFormat/>
    <w:rPr>
      <w:rFonts w:cs="Courier New"/>
    </w:rPr>
  </w:style>
  <w:style w:type="character" w:styleId="ListLabel56">
    <w:name w:val="ListLabel 56"/>
    <w:qFormat/>
    <w:rPr>
      <w:rFonts w:cs="Wingdings"/>
    </w:rPr>
  </w:style>
  <w:style w:type="character" w:styleId="ListLabel57">
    <w:name w:val="ListLabel 57"/>
    <w:qFormat/>
    <w:rPr>
      <w:rFonts w:cs="Symbol"/>
    </w:rPr>
  </w:style>
  <w:style w:type="character" w:styleId="ListLabel58">
    <w:name w:val="ListLabel 58"/>
    <w:qFormat/>
    <w:rPr>
      <w:rFonts w:cs="Courier New"/>
    </w:rPr>
  </w:style>
  <w:style w:type="character" w:styleId="ListLabel59">
    <w:name w:val="ListLabel 59"/>
    <w:qFormat/>
    <w:rPr>
      <w:rFonts w:cs="Wingdings"/>
    </w:rPr>
  </w:style>
  <w:style w:type="character" w:styleId="ListLabel60">
    <w:name w:val="ListLabel 60"/>
    <w:qFormat/>
    <w:rPr>
      <w:rFonts w:ascii="Arial" w:hAnsi="Arial"/>
      <w:b w:val="false"/>
      <w:sz w:val="22"/>
    </w:rPr>
  </w:style>
  <w:style w:type="character" w:styleId="ListLabel61">
    <w:name w:val="ListLabel 61"/>
    <w:qFormat/>
    <w:rPr>
      <w:b w:val="false"/>
      <w:i w:val="false"/>
      <w:sz w:val="22"/>
      <w:szCs w:val="24"/>
    </w:rPr>
  </w:style>
  <w:style w:type="character" w:styleId="ListLabel62">
    <w:name w:val="ListLabel 62"/>
    <w:qFormat/>
    <w:rPr>
      <w:rFonts w:ascii="Arial" w:hAnsi="Arial"/>
      <w:b w:val="false"/>
      <w:i w:val="false"/>
      <w:color w:val="00000A"/>
      <w:sz w:val="22"/>
      <w:szCs w:val="24"/>
    </w:rPr>
  </w:style>
  <w:style w:type="character" w:styleId="ListLabel63">
    <w:name w:val="ListLabel 63"/>
    <w:qFormat/>
    <w:rPr>
      <w:rFonts w:ascii="Arial" w:hAnsi="Arial"/>
      <w:b w:val="false"/>
      <w:i w:val="false"/>
      <w:color w:val="00000A"/>
      <w:sz w:val="22"/>
    </w:rPr>
  </w:style>
  <w:style w:type="character" w:styleId="ListLabel64">
    <w:name w:val="ListLabel 64"/>
    <w:qFormat/>
    <w:rPr>
      <w:b w:val="false"/>
    </w:rPr>
  </w:style>
  <w:style w:type="character" w:styleId="ListLabel65">
    <w:name w:val="ListLabel 65"/>
    <w:qFormat/>
    <w:rPr>
      <w:b w:val="false"/>
      <w:sz w:val="24"/>
      <w:szCs w:val="24"/>
    </w:rPr>
  </w:style>
  <w:style w:type="character" w:styleId="ListLabel66">
    <w:name w:val="ListLabel 66"/>
    <w:qFormat/>
    <w:rPr>
      <w:rFonts w:cs="Symbol"/>
    </w:rPr>
  </w:style>
  <w:style w:type="character" w:styleId="ListLabel67">
    <w:name w:val="ListLabel 67"/>
    <w:qFormat/>
    <w:rPr>
      <w:rFonts w:cs="Courier New"/>
    </w:rPr>
  </w:style>
  <w:style w:type="character" w:styleId="ListLabel68">
    <w:name w:val="ListLabel 68"/>
    <w:qFormat/>
    <w:rPr>
      <w:rFonts w:cs="Wingdings"/>
    </w:rPr>
  </w:style>
  <w:style w:type="character" w:styleId="ListLabel69">
    <w:name w:val="ListLabel 69"/>
    <w:qFormat/>
    <w:rPr>
      <w:rFonts w:ascii="Arial" w:hAnsi="Arial" w:cs="Symbol"/>
      <w:sz w:val="22"/>
    </w:rPr>
  </w:style>
  <w:style w:type="character" w:styleId="ListLabel70">
    <w:name w:val="ListLabel 70"/>
    <w:qFormat/>
    <w:rPr>
      <w:rFonts w:cs="Courier New"/>
    </w:rPr>
  </w:style>
  <w:style w:type="character" w:styleId="ListLabel71">
    <w:name w:val="ListLabel 71"/>
    <w:qFormat/>
    <w:rPr>
      <w:rFonts w:cs="Wingdings"/>
    </w:rPr>
  </w:style>
  <w:style w:type="character" w:styleId="ListLabel72">
    <w:name w:val="ListLabel 72"/>
    <w:qFormat/>
    <w:rPr>
      <w:rFonts w:cs="Symbol"/>
    </w:rPr>
  </w:style>
  <w:style w:type="character" w:styleId="ListLabel73">
    <w:name w:val="ListLabel 73"/>
    <w:qFormat/>
    <w:rPr>
      <w:rFonts w:cs="Courier New"/>
    </w:rPr>
  </w:style>
  <w:style w:type="character" w:styleId="ListLabel74">
    <w:name w:val="ListLabel 74"/>
    <w:qFormat/>
    <w:rPr>
      <w:rFonts w:cs="Wingdings"/>
    </w:rPr>
  </w:style>
  <w:style w:type="character" w:styleId="ListLabel75">
    <w:name w:val="ListLabel 75"/>
    <w:qFormat/>
    <w:rPr>
      <w:rFonts w:ascii="Arial" w:hAnsi="Arial"/>
      <w:b w:val="false"/>
      <w:sz w:val="22"/>
    </w:rPr>
  </w:style>
  <w:style w:type="character" w:styleId="ListLabel76">
    <w:name w:val="ListLabel 76"/>
    <w:qFormat/>
    <w:rPr>
      <w:b w:val="false"/>
      <w:i w:val="false"/>
      <w:sz w:val="22"/>
      <w:szCs w:val="24"/>
    </w:rPr>
  </w:style>
  <w:style w:type="character" w:styleId="ListLabel77">
    <w:name w:val="ListLabel 77"/>
    <w:qFormat/>
    <w:rPr>
      <w:rFonts w:ascii="Arial" w:hAnsi="Arial"/>
      <w:b w:val="false"/>
      <w:i w:val="false"/>
      <w:color w:val="00000A"/>
      <w:sz w:val="22"/>
      <w:szCs w:val="24"/>
    </w:rPr>
  </w:style>
  <w:style w:type="character" w:styleId="ListLabel78">
    <w:name w:val="ListLabel 78"/>
    <w:qFormat/>
    <w:rPr>
      <w:rFonts w:ascii="Arial" w:hAnsi="Arial"/>
      <w:b w:val="false"/>
      <w:i w:val="false"/>
      <w:color w:val="00000A"/>
      <w:sz w:val="22"/>
    </w:rPr>
  </w:style>
  <w:style w:type="character" w:styleId="ListLabel79">
    <w:name w:val="ListLabel 79"/>
    <w:qFormat/>
    <w:rPr>
      <w:b w:val="false"/>
    </w:rPr>
  </w:style>
  <w:style w:type="character" w:styleId="ListLabel80">
    <w:name w:val="ListLabel 80"/>
    <w:qFormat/>
    <w:rPr>
      <w:b w:val="false"/>
      <w:sz w:val="24"/>
      <w:szCs w:val="24"/>
    </w:rPr>
  </w:style>
  <w:style w:type="character" w:styleId="ListLabel81">
    <w:name w:val="ListLabel 81"/>
    <w:qFormat/>
    <w:rPr>
      <w:rFonts w:cs="Symbol"/>
    </w:rPr>
  </w:style>
  <w:style w:type="character" w:styleId="ListLabel82">
    <w:name w:val="ListLabel 82"/>
    <w:qFormat/>
    <w:rPr>
      <w:rFonts w:cs="Courier New"/>
    </w:rPr>
  </w:style>
  <w:style w:type="character" w:styleId="ListLabel83">
    <w:name w:val="ListLabel 83"/>
    <w:qFormat/>
    <w:rPr>
      <w:rFonts w:cs="Wingdings"/>
    </w:rPr>
  </w:style>
  <w:style w:type="character" w:styleId="ListLabel84">
    <w:name w:val="ListLabel 84"/>
    <w:qFormat/>
    <w:rPr>
      <w:rFonts w:ascii="Arial" w:hAnsi="Arial" w:cs="Symbol"/>
      <w:sz w:val="22"/>
    </w:rPr>
  </w:style>
  <w:style w:type="character" w:styleId="ListLabel85">
    <w:name w:val="ListLabel 85"/>
    <w:qFormat/>
    <w:rPr>
      <w:rFonts w:cs="Courier New"/>
    </w:rPr>
  </w:style>
  <w:style w:type="character" w:styleId="ListLabel86">
    <w:name w:val="ListLabel 86"/>
    <w:qFormat/>
    <w:rPr>
      <w:rFonts w:cs="Wingdings"/>
    </w:rPr>
  </w:style>
  <w:style w:type="character" w:styleId="ListLabel87">
    <w:name w:val="ListLabel 87"/>
    <w:qFormat/>
    <w:rPr>
      <w:rFonts w:cs="Symbol"/>
    </w:rPr>
  </w:style>
  <w:style w:type="character" w:styleId="ListLabel88">
    <w:name w:val="ListLabel 88"/>
    <w:qFormat/>
    <w:rPr>
      <w:rFonts w:cs="Courier New"/>
    </w:rPr>
  </w:style>
  <w:style w:type="character" w:styleId="ListLabel89">
    <w:name w:val="ListLabel 89"/>
    <w:qFormat/>
    <w:rPr>
      <w:rFonts w:cs="Wingdings"/>
    </w:rPr>
  </w:style>
  <w:style w:type="character" w:styleId="ListLabel90">
    <w:name w:val="ListLabel 90"/>
    <w:qFormat/>
    <w:rPr>
      <w:rFonts w:ascii="Arial" w:hAnsi="Arial"/>
      <w:b w:val="false"/>
      <w:sz w:val="22"/>
    </w:rPr>
  </w:style>
  <w:style w:type="paragraph" w:styleId="Ttulo">
    <w:name w:val="Título"/>
    <w:basedOn w:val="Normal"/>
    <w:next w:val="Corpodetexto"/>
    <w:qFormat/>
    <w:pPr>
      <w:keepNext/>
      <w:spacing w:before="240" w:after="120"/>
    </w:pPr>
    <w:rPr>
      <w:rFonts w:ascii="Liberation Sans" w:hAnsi="Liberation Sans" w:eastAsia="Microsoft YaHei" w:cs="Mangal"/>
      <w:sz w:val="28"/>
      <w:szCs w:val="28"/>
    </w:rPr>
  </w:style>
  <w:style w:type="paragraph" w:styleId="Corpodetexto">
    <w:name w:val="Body Text"/>
    <w:basedOn w:val="Normal"/>
    <w:link w:val="CorpodetextoChar"/>
    <w:rsid w:val="00bc6584"/>
    <w:pPr>
      <w:spacing w:before="0" w:after="120"/>
    </w:pPr>
    <w:rPr/>
  </w:style>
  <w:style w:type="paragraph" w:styleId="Lista">
    <w:name w:val="List"/>
    <w:basedOn w:val="Corpodetexto"/>
    <w:pPr/>
    <w:rPr>
      <w:rFonts w:cs="Mangal"/>
    </w:rPr>
  </w:style>
  <w:style w:type="paragraph" w:styleId="Legenda">
    <w:name w:val="Caption"/>
    <w:basedOn w:val="Normal"/>
    <w:qFormat/>
    <w:pPr>
      <w:suppressLineNumbers/>
      <w:spacing w:before="120" w:after="120"/>
    </w:pPr>
    <w:rPr>
      <w:rFonts w:cs="Mangal"/>
      <w:i/>
      <w:iCs/>
      <w:sz w:val="24"/>
      <w:szCs w:val="24"/>
    </w:rPr>
  </w:style>
  <w:style w:type="paragraph" w:styleId="Ndice">
    <w:name w:val="Índice"/>
    <w:basedOn w:val="Normal"/>
    <w:qFormat/>
    <w:pPr>
      <w:suppressLineNumbers/>
    </w:pPr>
    <w:rPr>
      <w:rFonts w:cs="Mangal"/>
    </w:rPr>
  </w:style>
  <w:style w:type="paragraph" w:styleId="Ttulododocumento">
    <w:name w:val="Title"/>
    <w:basedOn w:val="Normal"/>
    <w:next w:val="Normal"/>
    <w:link w:val="TtuloChar"/>
    <w:uiPriority w:val="10"/>
    <w:qFormat/>
    <w:rsid w:val="00bc6584"/>
    <w:pPr>
      <w:pBdr>
        <w:bottom w:val="single" w:sz="8" w:space="4" w:color="4F81BD"/>
      </w:pBdr>
      <w:spacing w:before="0" w:after="300"/>
      <w:contextualSpacing/>
    </w:pPr>
    <w:rPr>
      <w:rFonts w:ascii="Cambria" w:hAnsi="Cambria" w:eastAsia="" w:cs="" w:asciiTheme="majorHAnsi" w:cstheme="majorBidi" w:eastAsiaTheme="majorEastAsia" w:hAnsiTheme="majorHAnsi"/>
      <w:color w:val="17365D" w:themeColor="text2" w:themeShade="bf"/>
      <w:spacing w:val="5"/>
      <w:sz w:val="52"/>
      <w:szCs w:val="52"/>
    </w:rPr>
  </w:style>
  <w:style w:type="paragraph" w:styleId="Cabealho">
    <w:name w:val="Header"/>
    <w:basedOn w:val="Normal"/>
    <w:link w:val="CabealhoChar"/>
    <w:uiPriority w:val="99"/>
    <w:unhideWhenUsed/>
    <w:rsid w:val="00bc6584"/>
    <w:pPr>
      <w:widowControl/>
      <w:tabs>
        <w:tab w:val="center" w:pos="4252" w:leader="none"/>
        <w:tab w:val="right" w:pos="8504" w:leader="none"/>
      </w:tabs>
      <w:suppressAutoHyphens w:val="false"/>
    </w:pPr>
    <w:rPr>
      <w:rFonts w:ascii="Calibri" w:hAnsi="Calibri" w:eastAsia="Calibri" w:cs="" w:asciiTheme="minorHAnsi" w:cstheme="minorBidi" w:eastAsiaTheme="minorHAnsi" w:hAnsiTheme="minorHAnsi"/>
      <w:sz w:val="22"/>
      <w:szCs w:val="22"/>
    </w:rPr>
  </w:style>
  <w:style w:type="paragraph" w:styleId="Rodap">
    <w:name w:val="Footer"/>
    <w:basedOn w:val="Normal"/>
    <w:link w:val="RodapChar"/>
    <w:unhideWhenUsed/>
    <w:rsid w:val="00bc6584"/>
    <w:pPr>
      <w:widowControl/>
      <w:tabs>
        <w:tab w:val="center" w:pos="4252" w:leader="none"/>
        <w:tab w:val="right" w:pos="8504" w:leader="none"/>
      </w:tabs>
      <w:suppressAutoHyphens w:val="false"/>
    </w:pPr>
    <w:rPr>
      <w:rFonts w:ascii="Calibri" w:hAnsi="Calibri" w:eastAsia="Calibri" w:cs="" w:asciiTheme="minorHAnsi" w:cstheme="minorBidi" w:eastAsiaTheme="minorHAnsi" w:hAnsiTheme="minorHAnsi"/>
      <w:sz w:val="22"/>
      <w:szCs w:val="22"/>
    </w:rPr>
  </w:style>
  <w:style w:type="paragraph" w:styleId="NoSpacing">
    <w:name w:val="No Spacing"/>
    <w:qFormat/>
    <w:rsid w:val="00bc6584"/>
    <w:pPr>
      <w:widowControl/>
      <w:bidi w:val="0"/>
      <w:spacing w:lineRule="auto" w:line="240" w:before="0" w:after="0"/>
      <w:jc w:val="left"/>
    </w:pPr>
    <w:rPr>
      <w:rFonts w:ascii="Calibri" w:hAnsi="Calibri" w:eastAsia="Calibri" w:cs="" w:asciiTheme="minorHAnsi" w:cstheme="minorBidi" w:eastAsiaTheme="minorHAnsi" w:hAnsiTheme="minorHAnsi"/>
      <w:color w:val="00000A"/>
      <w:sz w:val="24"/>
      <w:szCs w:val="22"/>
      <w:lang w:val="pt-BR" w:eastAsia="en-US" w:bidi="ar-SA"/>
    </w:rPr>
  </w:style>
  <w:style w:type="paragraph" w:styleId="BalloonText">
    <w:name w:val="Balloon Text"/>
    <w:basedOn w:val="Normal"/>
    <w:link w:val="TextodebaloChar"/>
    <w:uiPriority w:val="99"/>
    <w:semiHidden/>
    <w:unhideWhenUsed/>
    <w:qFormat/>
    <w:rsid w:val="00bc6584"/>
    <w:pPr/>
    <w:rPr>
      <w:rFonts w:ascii="Tahoma" w:hAnsi="Tahoma" w:cs="Tahoma"/>
      <w:sz w:val="16"/>
      <w:szCs w:val="16"/>
    </w:rPr>
  </w:style>
  <w:style w:type="paragraph" w:styleId="BodyTextIndent2">
    <w:name w:val="Body Text Indent 2"/>
    <w:basedOn w:val="Normal"/>
    <w:link w:val="Recuodecorpodetexto2Char"/>
    <w:qFormat/>
    <w:rsid w:val="00515a8f"/>
    <w:pPr>
      <w:spacing w:lineRule="auto" w:line="480" w:before="0" w:after="120"/>
      <w:ind w:left="283" w:hanging="0"/>
    </w:pPr>
    <w:rPr/>
  </w:style>
  <w:style w:type="paragraph" w:styleId="ListParagraph">
    <w:name w:val="List Paragraph"/>
    <w:basedOn w:val="Normal"/>
    <w:uiPriority w:val="34"/>
    <w:qFormat/>
    <w:rsid w:val="00515a8f"/>
    <w:pPr>
      <w:ind w:left="708" w:hanging="0"/>
    </w:pPr>
    <w:rPr/>
  </w:style>
  <w:style w:type="paragraph" w:styleId="BodyText3">
    <w:name w:val="Body Text 3"/>
    <w:basedOn w:val="Normal"/>
    <w:link w:val="Corpodetexto3Char"/>
    <w:qFormat/>
    <w:rsid w:val="00c85edf"/>
    <w:pPr>
      <w:widowControl/>
      <w:suppressAutoHyphens w:val="false"/>
      <w:overflowPunct w:val="false"/>
      <w:spacing w:before="0" w:after="120"/>
      <w:textAlignment w:val="baseline"/>
    </w:pPr>
    <w:rPr>
      <w:rFonts w:eastAsia="Times New Roman"/>
      <w:sz w:val="16"/>
      <w:szCs w:val="16"/>
      <w:lang w:eastAsia="pt-BR"/>
    </w:rPr>
  </w:style>
  <w:style w:type="paragraph" w:styleId="PT" w:customStyle="1">
    <w:name w:val="PT"/>
    <w:basedOn w:val="Normal"/>
    <w:qFormat/>
    <w:rsid w:val="00c85edf"/>
    <w:pPr>
      <w:widowControl/>
      <w:suppressAutoHyphens w:val="false"/>
      <w:overflowPunct w:val="false"/>
      <w:spacing w:lineRule="atLeast" w:line="360"/>
      <w:jc w:val="both"/>
      <w:textAlignment w:val="baseline"/>
    </w:pPr>
    <w:rPr>
      <w:rFonts w:ascii="Arial" w:hAnsi="Arial" w:eastAsia="Times New Roman"/>
      <w:b/>
      <w:spacing w:val="30"/>
      <w:szCs w:val="20"/>
      <w:lang w:eastAsia="pt-BR"/>
    </w:rPr>
  </w:style>
  <w:style w:type="paragraph" w:styleId="Style13" w:customStyle="1">
    <w:name w:val="Style 1"/>
    <w:uiPriority w:val="99"/>
    <w:qFormat/>
    <w:rsid w:val="00c85edf"/>
    <w:pPr>
      <w:widowControl w:val="false"/>
      <w:bidi w:val="0"/>
      <w:spacing w:lineRule="auto" w:line="240" w:before="0" w:after="0"/>
      <w:jc w:val="left"/>
    </w:pPr>
    <w:rPr>
      <w:rFonts w:ascii="Times New Roman" w:hAnsi="Times New Roman" w:eastAsia="Times New Roman" w:cs="Times New Roman"/>
      <w:color w:val="00000A"/>
      <w:sz w:val="20"/>
      <w:szCs w:val="20"/>
      <w:lang w:val="pt-BR" w:eastAsia="pt-BR" w:bidi="ar-SA"/>
    </w:rPr>
  </w:style>
  <w:style w:type="paragraph" w:styleId="Contedodatabela">
    <w:name w:val="Conteúdo da tabela"/>
    <w:basedOn w:val="Normal"/>
    <w:qFormat/>
    <w:pPr/>
    <w:rPr/>
  </w:style>
  <w:style w:type="paragraph" w:styleId="Ttulodetabela">
    <w:name w:val="Título de tabela"/>
    <w:basedOn w:val="Contedodatabela"/>
    <w:qFormat/>
    <w:pPr/>
    <w:rPr/>
  </w:style>
  <w:style w:type="numbering" w:styleId="NoList" w:default="1">
    <w:name w:val="No List"/>
    <w:uiPriority w:val="99"/>
    <w:semiHidden/>
    <w:unhideWhenUsed/>
    <w:qFormat/>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table" w:styleId="Tabelacomgrade">
    <w:name w:val="Table Grid"/>
    <w:basedOn w:val="Tabelanormal"/>
    <w:uiPriority w:val="59"/>
    <w:rsid w:val="00cb4eab"/>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2.jpeg"/>
</Relationships>
</file>

<file path=word/_rels/header1.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94C595-B062-4942-AC7C-0E6A42604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Application>LibreOffice/5.2.4.2$Windows_x86 LibreOffice_project/3d5603e1122f0f102b62521720ab13a38a4e0eb0</Application>
  <Pages>11</Pages>
  <Words>3737</Words>
  <Characters>21726</Characters>
  <CharactersWithSpaces>25314</CharactersWithSpaces>
  <Paragraphs>181</Paragraphs>
  <Company>Hewlett-Packard Company</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2017-06-22T14:11:00Z</dcterms:created>
  <dc:creator>Usuário</dc:creator>
  <dc:description/>
  <dc:language>pt-BR</dc:language>
  <cp:lastModifiedBy/>
  <cp:lastPrinted>2017-10-04T10:09:32Z</cp:lastPrinted>
  <dcterms:modified xsi:type="dcterms:W3CDTF">2017-10-04T10:43:43Z</dcterms:modified>
  <cp:revision>13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